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74A7065B"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187FD2">
        <w:rPr>
          <w:rFonts w:ascii="Arial" w:hAnsi="Arial" w:cs="Arial"/>
          <w:b/>
          <w:bCs/>
          <w:sz w:val="22"/>
          <w:szCs w:val="22"/>
        </w:rPr>
        <w:t xml:space="preserve">Administrativo nº </w:t>
      </w:r>
      <w:r w:rsidR="00187FD2" w:rsidRPr="00187FD2">
        <w:rPr>
          <w:rFonts w:ascii="Arial" w:hAnsi="Arial" w:cs="Arial"/>
          <w:b/>
          <w:bCs/>
          <w:sz w:val="22"/>
          <w:szCs w:val="22"/>
        </w:rPr>
        <w:t>14.975/2025</w:t>
      </w:r>
      <w:r w:rsidR="00776D41" w:rsidRPr="00187FD2">
        <w:rPr>
          <w:rFonts w:ascii="Arial" w:hAnsi="Arial" w:cs="Arial"/>
          <w:b/>
          <w:bCs/>
          <w:sz w:val="22"/>
          <w:szCs w:val="22"/>
        </w:rPr>
        <w:t>,</w:t>
      </w:r>
      <w:r w:rsidR="005466C3" w:rsidRPr="00187FD2">
        <w:rPr>
          <w:rFonts w:ascii="Arial" w:hAnsi="Arial" w:cs="Arial"/>
          <w:b/>
          <w:bCs/>
          <w:sz w:val="22"/>
          <w:szCs w:val="22"/>
        </w:rPr>
        <w:t xml:space="preserve"> </w:t>
      </w:r>
      <w:r w:rsidRPr="00187FD2">
        <w:rPr>
          <w:rFonts w:ascii="Arial" w:hAnsi="Arial" w:cs="Arial"/>
          <w:sz w:val="22"/>
          <w:szCs w:val="22"/>
        </w:rPr>
        <w:t xml:space="preserve">e em observância às disposições da Lei nº </w:t>
      </w:r>
      <w:r w:rsidR="00F232EF" w:rsidRPr="00187FD2">
        <w:rPr>
          <w:rFonts w:ascii="Arial" w:hAnsi="Arial" w:cs="Arial"/>
          <w:sz w:val="22"/>
          <w:szCs w:val="22"/>
        </w:rPr>
        <w:t xml:space="preserve">14.133, </w:t>
      </w:r>
      <w:r w:rsidR="009872FB" w:rsidRPr="00187FD2">
        <w:rPr>
          <w:rFonts w:ascii="Arial" w:hAnsi="Arial" w:cs="Arial"/>
          <w:sz w:val="22"/>
          <w:szCs w:val="22"/>
        </w:rPr>
        <w:t xml:space="preserve">de 1º de abril </w:t>
      </w:r>
      <w:r w:rsidR="00F232EF" w:rsidRPr="00187FD2">
        <w:rPr>
          <w:rFonts w:ascii="Arial" w:hAnsi="Arial" w:cs="Arial"/>
          <w:sz w:val="22"/>
          <w:szCs w:val="22"/>
        </w:rPr>
        <w:t>de 2021</w:t>
      </w:r>
      <w:r w:rsidR="0050761F" w:rsidRPr="00187FD2">
        <w:rPr>
          <w:rFonts w:ascii="Arial" w:hAnsi="Arial" w:cs="Arial"/>
          <w:sz w:val="22"/>
          <w:szCs w:val="22"/>
        </w:rPr>
        <w:t xml:space="preserve"> </w:t>
      </w:r>
      <w:r w:rsidR="0050761F" w:rsidRPr="00187FD2">
        <w:rPr>
          <w:rFonts w:ascii="Arial" w:hAnsi="Arial" w:cs="Arial"/>
          <w:sz w:val="22"/>
          <w:szCs w:val="22"/>
          <w:lang w:val="pt-PT"/>
        </w:rPr>
        <w:t xml:space="preserve">e </w:t>
      </w:r>
      <w:r w:rsidR="009872FB" w:rsidRPr="00187FD2">
        <w:rPr>
          <w:rFonts w:ascii="Arial" w:hAnsi="Arial" w:cs="Arial"/>
          <w:sz w:val="22"/>
          <w:szCs w:val="22"/>
          <w:lang w:val="pt-PT"/>
        </w:rPr>
        <w:t>demais legislações aplicáveis</w:t>
      </w:r>
      <w:r w:rsidR="006306EF" w:rsidRPr="00187FD2">
        <w:rPr>
          <w:rFonts w:ascii="Arial" w:hAnsi="Arial" w:cs="Arial"/>
          <w:sz w:val="22"/>
          <w:szCs w:val="22"/>
        </w:rPr>
        <w:t>,</w:t>
      </w:r>
      <w:r w:rsidRPr="00187FD2">
        <w:rPr>
          <w:rFonts w:ascii="Arial" w:hAnsi="Arial" w:cs="Arial"/>
          <w:i/>
          <w:sz w:val="22"/>
          <w:szCs w:val="22"/>
        </w:rPr>
        <w:t xml:space="preserve"> </w:t>
      </w:r>
      <w:r w:rsidRPr="00187FD2">
        <w:rPr>
          <w:rFonts w:ascii="Arial" w:hAnsi="Arial" w:cs="Arial"/>
          <w:sz w:val="22"/>
          <w:szCs w:val="22"/>
        </w:rPr>
        <w:t xml:space="preserve">resolvem celebrar o presente Termo de Contrato, decorrente do </w:t>
      </w:r>
      <w:r w:rsidR="005466C3" w:rsidRPr="00187FD2">
        <w:rPr>
          <w:rFonts w:ascii="Arial" w:hAnsi="Arial" w:cs="Arial"/>
          <w:b/>
          <w:bCs/>
          <w:sz w:val="22"/>
          <w:szCs w:val="22"/>
        </w:rPr>
        <w:t>Pregão Eletrônico</w:t>
      </w:r>
      <w:r w:rsidR="000B23ED" w:rsidRPr="00187FD2">
        <w:rPr>
          <w:rFonts w:ascii="Arial" w:hAnsi="Arial" w:cs="Arial"/>
          <w:b/>
          <w:bCs/>
          <w:sz w:val="22"/>
          <w:szCs w:val="22"/>
        </w:rPr>
        <w:t xml:space="preserve"> </w:t>
      </w:r>
      <w:r w:rsidR="005466C3" w:rsidRPr="00187FD2">
        <w:rPr>
          <w:rFonts w:ascii="Arial" w:hAnsi="Arial" w:cs="Arial"/>
          <w:b/>
          <w:bCs/>
          <w:sz w:val="22"/>
          <w:szCs w:val="22"/>
        </w:rPr>
        <w:t xml:space="preserve">nº </w:t>
      </w:r>
      <w:r w:rsidR="00187FD2" w:rsidRPr="00187FD2">
        <w:rPr>
          <w:rFonts w:ascii="Arial" w:hAnsi="Arial" w:cs="Arial"/>
          <w:b/>
          <w:bCs/>
          <w:sz w:val="22"/>
          <w:szCs w:val="22"/>
        </w:rPr>
        <w:t>90.110/2025</w:t>
      </w:r>
      <w:r w:rsidRPr="00187FD2">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0C4E20D5"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187FD2" w:rsidRPr="00187FD2">
        <w:rPr>
          <w:rFonts w:ascii="Arial" w:eastAsia="Times New Roman" w:hAnsi="Arial" w:cs="Arial"/>
          <w:b/>
          <w:bCs/>
          <w:lang w:val="pt-BR" w:eastAsia="pt-BR"/>
        </w:rPr>
        <w:t>CONTRATAÇÃO DE EMPRESA ESPECIALIZADA para os serviços de TRANSPORTE DE PASSAGEIROS, para trajeto entre Nova Friburgo x Rio de Janeiro, para atender as necessidades da Escola de Aux. e Téc. de Enfermagem Nossa Senhora de Fátima</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70BCA5D2" w14:textId="6060E4A0" w:rsidR="00743B9D" w:rsidRPr="00743B9D" w:rsidRDefault="00743B9D" w:rsidP="00743B9D">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743B9D">
        <w:rPr>
          <w:rFonts w:ascii="Arial" w:hAnsi="Arial" w:cs="Arial"/>
          <w:bCs/>
          <w:iCs/>
          <w:u w:val="single"/>
        </w:rPr>
        <w:t>MODELO DE EXECUÇÃO DO OBJETO (arts. 6º, XXIII, alínea “e” e 40, §1º, inciso II, da Lei nº 14.133/2021):</w:t>
      </w:r>
    </w:p>
    <w:p w14:paraId="1E3CCB21" w14:textId="5A85EAA9" w:rsidR="00743B9D" w:rsidRPr="00743B9D" w:rsidRDefault="00743B9D" w:rsidP="00743B9D">
      <w:pPr>
        <w:pStyle w:val="PargrafodaLista"/>
        <w:widowControl/>
        <w:numPr>
          <w:ilvl w:val="2"/>
          <w:numId w:val="2"/>
        </w:numPr>
        <w:pBdr>
          <w:top w:val="nil"/>
          <w:left w:val="nil"/>
          <w:bottom w:val="nil"/>
          <w:right w:val="nil"/>
          <w:between w:val="nil"/>
        </w:pBdr>
        <w:suppressAutoHyphens/>
        <w:autoSpaceDE/>
        <w:autoSpaceDN/>
        <w:spacing w:line="360" w:lineRule="auto"/>
        <w:ind w:left="0" w:firstLine="0"/>
        <w:contextualSpacing/>
        <w:jc w:val="both"/>
        <w:rPr>
          <w:rFonts w:ascii="Arial" w:hAnsi="Arial" w:cs="Arial"/>
          <w:bCs/>
          <w:iCs/>
        </w:rPr>
      </w:pPr>
      <w:r w:rsidRPr="00743B9D">
        <w:rPr>
          <w:rFonts w:ascii="Arial" w:hAnsi="Arial" w:cs="Arial"/>
          <w:bCs/>
          <w:iCs/>
        </w:rPr>
        <w:t>O prazo de execução é de 30 (trinta) dias (úteis), contados do dia seguinte ao recebimento da Nota de Empenho, Autorização de fornecimento ou documento equivalente;</w:t>
      </w:r>
    </w:p>
    <w:p w14:paraId="1D496238" w14:textId="680F39A5" w:rsidR="00743B9D" w:rsidRPr="00743B9D" w:rsidRDefault="00743B9D" w:rsidP="00743B9D">
      <w:pPr>
        <w:pStyle w:val="PargrafodaLista"/>
        <w:widowControl/>
        <w:numPr>
          <w:ilvl w:val="2"/>
          <w:numId w:val="2"/>
        </w:numPr>
        <w:pBdr>
          <w:top w:val="nil"/>
          <w:left w:val="nil"/>
          <w:bottom w:val="nil"/>
          <w:right w:val="nil"/>
          <w:between w:val="nil"/>
        </w:pBdr>
        <w:suppressAutoHyphens/>
        <w:autoSpaceDE/>
        <w:autoSpaceDN/>
        <w:spacing w:line="360" w:lineRule="auto"/>
        <w:ind w:left="0" w:firstLine="0"/>
        <w:contextualSpacing/>
        <w:jc w:val="both"/>
        <w:rPr>
          <w:rFonts w:ascii="Arial" w:hAnsi="Arial" w:cs="Arial"/>
          <w:bCs/>
          <w:iCs/>
        </w:rPr>
      </w:pPr>
      <w:r w:rsidRPr="00743B9D">
        <w:rPr>
          <w:rFonts w:ascii="Arial" w:hAnsi="Arial" w:cs="Arial"/>
          <w:bCs/>
          <w:iCs/>
        </w:rPr>
        <w:t>Caso não seja possível o cumprimento do serviço na data prevista, a empresa deverá comunicar as razões respectivas com pelo menos 20 (vinte) dias de antecedência para que qualquer pleito de prorrogação de prazo seja analisado, ressalvadas situações de caso fortuito e força maior;</w:t>
      </w:r>
    </w:p>
    <w:p w14:paraId="2349BEC9" w14:textId="46FCAAE8" w:rsidR="00743B9D" w:rsidRPr="00743B9D" w:rsidRDefault="00743B9D" w:rsidP="00743B9D">
      <w:pPr>
        <w:pStyle w:val="PargrafodaLista"/>
        <w:widowControl/>
        <w:numPr>
          <w:ilvl w:val="2"/>
          <w:numId w:val="2"/>
        </w:numPr>
        <w:pBdr>
          <w:top w:val="nil"/>
          <w:left w:val="nil"/>
          <w:bottom w:val="nil"/>
          <w:right w:val="nil"/>
          <w:between w:val="nil"/>
        </w:pBdr>
        <w:suppressAutoHyphens/>
        <w:autoSpaceDE/>
        <w:autoSpaceDN/>
        <w:spacing w:line="360" w:lineRule="auto"/>
        <w:ind w:left="0" w:firstLine="0"/>
        <w:contextualSpacing/>
        <w:jc w:val="both"/>
        <w:rPr>
          <w:rFonts w:ascii="Arial" w:hAnsi="Arial" w:cs="Arial"/>
          <w:bCs/>
          <w:iCs/>
        </w:rPr>
      </w:pPr>
      <w:r w:rsidRPr="00743B9D">
        <w:rPr>
          <w:rFonts w:ascii="Arial" w:hAnsi="Arial" w:cs="Arial"/>
          <w:bCs/>
          <w:iCs/>
        </w:rPr>
        <w:t xml:space="preserve">Os serviços deverão ser prestados considerando o seguinte Deslocamento: </w:t>
      </w:r>
    </w:p>
    <w:p w14:paraId="3E3CC3D8" w14:textId="09E83204" w:rsidR="00743B9D" w:rsidRPr="00743B9D" w:rsidRDefault="00743B9D" w:rsidP="00743B9D">
      <w:pPr>
        <w:spacing w:line="360" w:lineRule="auto"/>
        <w:jc w:val="both"/>
        <w:rPr>
          <w:rFonts w:ascii="Arial" w:hAnsi="Arial" w:cs="Arial"/>
          <w:bCs/>
          <w:iCs/>
        </w:rPr>
      </w:pPr>
      <w:r w:rsidRPr="00743B9D">
        <w:rPr>
          <w:rFonts w:ascii="Arial" w:hAnsi="Arial" w:cs="Arial"/>
          <w:bCs/>
          <w:iCs/>
        </w:rPr>
        <w:t>- SAÍDA: Escola de Enfermagem Nossa Senhora de Fátima: Rua General Osório, nº 324, Centro, Nova Friburgo/ RJ, CEP: 28625-630;</w:t>
      </w:r>
    </w:p>
    <w:p w14:paraId="63FB83FA" w14:textId="6D0A3D29" w:rsidR="00743B9D" w:rsidRPr="00743B9D" w:rsidRDefault="00743B9D" w:rsidP="00743B9D">
      <w:pPr>
        <w:pStyle w:val="Ttulo1"/>
        <w:shd w:val="clear" w:color="auto" w:fill="FFFFFF"/>
        <w:spacing w:before="0" w:after="120" w:line="360" w:lineRule="auto"/>
        <w:ind w:left="0"/>
        <w:jc w:val="both"/>
        <w:rPr>
          <w:rFonts w:eastAsia="Verdana"/>
          <w:bCs/>
          <w:iCs/>
          <w:sz w:val="22"/>
          <w:szCs w:val="22"/>
        </w:rPr>
      </w:pPr>
      <w:r w:rsidRPr="00743B9D">
        <w:rPr>
          <w:rFonts w:eastAsia="Verdana"/>
          <w:bCs/>
          <w:iCs/>
          <w:sz w:val="22"/>
          <w:szCs w:val="22"/>
        </w:rPr>
        <w:t>- VISITA 1: Museu da Escola de Enfermagem Anna Nery/UFRJ: Rua Afonso Cavalcanti, nº 275 - Cidade Nova/ Rio de Janeiro, CEP: 21211-110;</w:t>
      </w:r>
    </w:p>
    <w:p w14:paraId="4303033C" w14:textId="7728ABBD" w:rsidR="00743B9D" w:rsidRPr="00743B9D" w:rsidRDefault="00743B9D" w:rsidP="00743B9D">
      <w:pPr>
        <w:spacing w:line="360" w:lineRule="auto"/>
        <w:rPr>
          <w:rFonts w:ascii="Arial" w:hAnsi="Arial" w:cs="Arial"/>
          <w:bCs/>
          <w:iCs/>
        </w:rPr>
      </w:pPr>
      <w:r w:rsidRPr="00743B9D">
        <w:rPr>
          <w:rFonts w:ascii="Arial" w:hAnsi="Arial" w:cs="Arial"/>
          <w:bCs/>
          <w:iCs/>
        </w:rPr>
        <w:t>- VISITA 2: Museu de Imagens do Inconsciente: Rua Ramiro Magalhães, 521 - Engenho de Dentro/ Rio de Janeiro, CEP: 20730-460;</w:t>
      </w:r>
    </w:p>
    <w:p w14:paraId="41736D54" w14:textId="6B35785D" w:rsidR="00743B9D" w:rsidRPr="00743B9D" w:rsidRDefault="00743B9D" w:rsidP="00743B9D">
      <w:pPr>
        <w:spacing w:line="360" w:lineRule="auto"/>
        <w:rPr>
          <w:rFonts w:ascii="Arial" w:hAnsi="Arial" w:cs="Arial"/>
          <w:bCs/>
          <w:iCs/>
        </w:rPr>
      </w:pPr>
      <w:r w:rsidRPr="00743B9D">
        <w:rPr>
          <w:rFonts w:ascii="Arial" w:hAnsi="Arial" w:cs="Arial"/>
          <w:bCs/>
          <w:iCs/>
        </w:rPr>
        <w:t>- RETORNO : Escola de Enfermagem Nossa Senhora de Fátima: Rua General Osório, nº 324, Centro, Nova Friburgo/ RJ, CEP: 28625-630.</w:t>
      </w:r>
    </w:p>
    <w:p w14:paraId="29BE0676" w14:textId="77777777" w:rsidR="00743B9D" w:rsidRPr="00743B9D" w:rsidRDefault="00743B9D" w:rsidP="00743B9D">
      <w:pPr>
        <w:spacing w:line="360" w:lineRule="auto"/>
        <w:jc w:val="both"/>
        <w:rPr>
          <w:rFonts w:ascii="Arial" w:hAnsi="Arial" w:cs="Arial"/>
          <w:bCs/>
          <w:iCs/>
        </w:rPr>
      </w:pPr>
      <w:r w:rsidRPr="00743B9D">
        <w:rPr>
          <w:rFonts w:ascii="Arial" w:hAnsi="Arial" w:cs="Arial"/>
          <w:bCs/>
          <w:iCs/>
        </w:rPr>
        <w:t>- Ida: a definir (previsão: nov./2025) (Horário: 06h) - transportando 62 passageiros (estudantes/professores).</w:t>
      </w:r>
    </w:p>
    <w:p w14:paraId="7A0AB607" w14:textId="77777777"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lastRenderedPageBreak/>
        <w:t>- Volta: mesma data da ida (Horário: 17h) - transportando 62 passageiros (estudantes/professores).</w:t>
      </w:r>
    </w:p>
    <w:p w14:paraId="0AB2E90D" w14:textId="3B5F2E13" w:rsidR="00743B9D" w:rsidRPr="00743B9D" w:rsidRDefault="00743B9D" w:rsidP="00743B9D">
      <w:pPr>
        <w:spacing w:line="360" w:lineRule="auto"/>
        <w:jc w:val="both"/>
        <w:rPr>
          <w:rFonts w:ascii="Arial" w:hAnsi="Arial" w:cs="Arial"/>
          <w:bCs/>
          <w:iCs/>
        </w:rPr>
      </w:pPr>
      <w:r w:rsidRPr="00743B9D">
        <w:rPr>
          <w:rFonts w:ascii="Arial" w:hAnsi="Arial" w:cs="Arial"/>
          <w:bCs/>
          <w:iCs/>
        </w:rPr>
        <w:t>3.1.4 Os serviços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0CA3432F" w14:textId="71882F75" w:rsidR="00743B9D" w:rsidRPr="00743B9D" w:rsidRDefault="00743B9D" w:rsidP="00743B9D">
      <w:pPr>
        <w:spacing w:line="360" w:lineRule="auto"/>
        <w:jc w:val="both"/>
        <w:rPr>
          <w:rFonts w:ascii="Arial" w:hAnsi="Arial" w:cs="Arial"/>
          <w:bCs/>
          <w:iCs/>
        </w:rPr>
      </w:pPr>
      <w:r w:rsidRPr="00743B9D">
        <w:rPr>
          <w:rFonts w:ascii="Arial" w:hAnsi="Arial" w:cs="Arial"/>
          <w:bCs/>
          <w:iCs/>
        </w:rPr>
        <w:t>3.1.5 Os serviços poderão ser rejeitados, no todo ou em parte, quando em desacordo com as especificações constantes neste Termo de Referência e na proposta, devendo ser substituídos no prazo de 02 (dois) dias, a contar da notificação da contratada, às suas custas, sem prejuízo da aplicação das penalidades.</w:t>
      </w:r>
    </w:p>
    <w:p w14:paraId="6E552309" w14:textId="713A45CA" w:rsidR="00743B9D" w:rsidRPr="00743B9D" w:rsidRDefault="00743B9D" w:rsidP="00743B9D">
      <w:pPr>
        <w:spacing w:line="360" w:lineRule="auto"/>
        <w:jc w:val="both"/>
        <w:rPr>
          <w:rFonts w:ascii="Arial" w:hAnsi="Arial" w:cs="Arial"/>
          <w:bCs/>
          <w:iCs/>
        </w:rPr>
      </w:pPr>
      <w:r w:rsidRPr="00743B9D">
        <w:rPr>
          <w:rFonts w:ascii="Arial" w:hAnsi="Arial" w:cs="Arial"/>
          <w:bCs/>
          <w:iCs/>
        </w:rPr>
        <w:t>3.1.6 Os serviços serão recebidos definitivamente no prazo de 02 (dois) dias, contados do recebimento provisório, após a verificação da qualidade e quantidade do material e consequente aceitação mediante termo detalhado.</w:t>
      </w:r>
    </w:p>
    <w:p w14:paraId="532DFC9D" w14:textId="632E123F"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3.1.7 Na hipótese de a verificação a que se refere o subitem anterior não ser procedida dentro do prazo fixado, reputar-se-á como realizada, consumando-se o recebimento definitivo no dia do esgotamento do prazo.</w:t>
      </w:r>
    </w:p>
    <w:p w14:paraId="2641060D" w14:textId="594BC230" w:rsid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3.1.8 O recebimento provisório ou definitivo não excluirá a responsabilidade civil pela solidez e pela segurança do serviço nem a responsabilidade ético-profissional pela perfeita execução do contrato.</w:t>
      </w:r>
    </w:p>
    <w:p w14:paraId="4A659649" w14:textId="3E8CC6A2" w:rsidR="00743B9D" w:rsidRPr="00743B9D" w:rsidRDefault="00743B9D" w:rsidP="00743B9D">
      <w:pPr>
        <w:pBdr>
          <w:top w:val="nil"/>
          <w:left w:val="nil"/>
          <w:bottom w:val="nil"/>
          <w:right w:val="nil"/>
          <w:between w:val="nil"/>
        </w:pBdr>
        <w:spacing w:line="360" w:lineRule="auto"/>
        <w:jc w:val="both"/>
        <w:rPr>
          <w:rFonts w:ascii="Arial" w:hAnsi="Arial" w:cs="Arial"/>
          <w:bCs/>
          <w:iCs/>
          <w:u w:val="single"/>
        </w:rPr>
      </w:pPr>
      <w:r w:rsidRPr="00743B9D">
        <w:rPr>
          <w:rFonts w:ascii="Arial" w:hAnsi="Arial" w:cs="Arial"/>
          <w:bCs/>
          <w:iCs/>
          <w:u w:val="single"/>
        </w:rPr>
        <w:t>3.2 MODELO DE GESTÃO DO CONTRATO (art. 6º, XXIII, alínea “f”, da Lei nº 14.133/21):</w:t>
      </w:r>
    </w:p>
    <w:p w14:paraId="050E7690" w14:textId="1B9D83DE" w:rsidR="00743B9D" w:rsidRPr="00743B9D" w:rsidRDefault="00743B9D" w:rsidP="00743B9D">
      <w:pPr>
        <w:pStyle w:val="PargrafodaLista"/>
        <w:widowControl/>
        <w:numPr>
          <w:ilvl w:val="2"/>
          <w:numId w:val="11"/>
        </w:numPr>
        <w:pBdr>
          <w:top w:val="nil"/>
          <w:left w:val="nil"/>
          <w:bottom w:val="nil"/>
          <w:right w:val="nil"/>
          <w:between w:val="nil"/>
        </w:pBdr>
        <w:suppressAutoHyphens/>
        <w:autoSpaceDE/>
        <w:autoSpaceDN/>
        <w:spacing w:line="360" w:lineRule="auto"/>
        <w:ind w:left="0" w:firstLine="0"/>
        <w:jc w:val="both"/>
        <w:rPr>
          <w:rFonts w:ascii="Arial" w:hAnsi="Arial" w:cs="Arial"/>
          <w:bCs/>
          <w:iCs/>
        </w:rPr>
      </w:pPr>
      <w:r w:rsidRPr="00743B9D">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16E712E9" w14:textId="725BCE85" w:rsidR="00743B9D" w:rsidRPr="00743B9D" w:rsidRDefault="00743B9D" w:rsidP="00743B9D">
      <w:pPr>
        <w:pStyle w:val="PargrafodaLista"/>
        <w:widowControl/>
        <w:numPr>
          <w:ilvl w:val="2"/>
          <w:numId w:val="11"/>
        </w:numPr>
        <w:pBdr>
          <w:top w:val="nil"/>
          <w:left w:val="nil"/>
          <w:bottom w:val="nil"/>
          <w:right w:val="nil"/>
          <w:between w:val="nil"/>
        </w:pBdr>
        <w:suppressAutoHyphens/>
        <w:autoSpaceDE/>
        <w:autoSpaceDN/>
        <w:spacing w:line="360" w:lineRule="auto"/>
        <w:ind w:left="0" w:firstLine="0"/>
        <w:jc w:val="both"/>
        <w:rPr>
          <w:rFonts w:ascii="Arial" w:hAnsi="Arial" w:cs="Arial"/>
          <w:bCs/>
          <w:iCs/>
        </w:rPr>
      </w:pPr>
      <w:bookmarkStart w:id="3" w:name="bookmark=id.30j0zll" w:colFirst="0" w:colLast="0"/>
      <w:bookmarkStart w:id="4" w:name="bookmark=id.1fob9te" w:colFirst="0" w:colLast="0"/>
      <w:bookmarkEnd w:id="3"/>
      <w:bookmarkEnd w:id="4"/>
      <w:r w:rsidRPr="00743B9D">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39CD28A5" w14:textId="6F839026" w:rsidR="00743B9D" w:rsidRPr="00743B9D" w:rsidRDefault="00743B9D" w:rsidP="00743B9D">
      <w:pPr>
        <w:pBdr>
          <w:top w:val="nil"/>
          <w:left w:val="nil"/>
          <w:bottom w:val="nil"/>
          <w:right w:val="nil"/>
          <w:between w:val="nil"/>
        </w:pBdr>
        <w:spacing w:line="360" w:lineRule="auto"/>
        <w:jc w:val="both"/>
        <w:rPr>
          <w:rFonts w:ascii="Arial" w:hAnsi="Arial" w:cs="Arial"/>
          <w:bCs/>
          <w:iCs/>
        </w:rPr>
      </w:pPr>
      <w:bookmarkStart w:id="5" w:name="bookmark=id.3znysh7" w:colFirst="0" w:colLast="0"/>
      <w:bookmarkEnd w:id="5"/>
      <w:r w:rsidRPr="00743B9D">
        <w:rPr>
          <w:rFonts w:ascii="Arial" w:hAnsi="Arial" w:cs="Arial"/>
          <w:bCs/>
          <w:iCs/>
        </w:rPr>
        <w:t>3.2.3 A execução do contrato deverá ser acompanhada e fiscalizada pelo(s) fiscal(is) do contrato, ou pelos respectivos substitutos (Lei nº 14.133/2021, art. 117, caput).</w:t>
      </w:r>
    </w:p>
    <w:p w14:paraId="0E9D1E08" w14:textId="3C4D5DBA" w:rsidR="00743B9D" w:rsidRPr="00743B9D" w:rsidRDefault="00743B9D" w:rsidP="00743B9D">
      <w:pPr>
        <w:pBdr>
          <w:top w:val="nil"/>
          <w:left w:val="nil"/>
          <w:bottom w:val="nil"/>
          <w:right w:val="nil"/>
          <w:between w:val="nil"/>
        </w:pBdr>
        <w:tabs>
          <w:tab w:val="left" w:pos="360"/>
          <w:tab w:val="left" w:pos="450"/>
        </w:tabs>
        <w:spacing w:line="360" w:lineRule="auto"/>
        <w:jc w:val="both"/>
        <w:rPr>
          <w:rFonts w:ascii="Arial" w:hAnsi="Arial" w:cs="Arial"/>
          <w:bCs/>
          <w:iCs/>
        </w:rPr>
      </w:pPr>
      <w:r w:rsidRPr="00743B9D">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5B2A6DA0" w14:textId="704B08EE" w:rsidR="00743B9D" w:rsidRPr="00743B9D" w:rsidRDefault="00743B9D" w:rsidP="00743B9D">
      <w:pPr>
        <w:pBdr>
          <w:top w:val="nil"/>
          <w:left w:val="nil"/>
          <w:bottom w:val="nil"/>
          <w:right w:val="nil"/>
          <w:between w:val="nil"/>
        </w:pBdr>
        <w:tabs>
          <w:tab w:val="left" w:pos="360"/>
          <w:tab w:val="left" w:pos="450"/>
        </w:tabs>
        <w:spacing w:line="360" w:lineRule="auto"/>
        <w:jc w:val="both"/>
        <w:rPr>
          <w:rFonts w:ascii="Arial" w:hAnsi="Arial" w:cs="Arial"/>
          <w:bCs/>
          <w:iCs/>
        </w:rPr>
      </w:pPr>
      <w:bookmarkStart w:id="6" w:name="bookmark=id.2et92p0" w:colFirst="0" w:colLast="0"/>
      <w:bookmarkEnd w:id="6"/>
      <w:r w:rsidRPr="00743B9D">
        <w:rPr>
          <w:rFonts w:ascii="Arial" w:hAnsi="Arial" w:cs="Arial"/>
          <w:bCs/>
          <w:iCs/>
        </w:rPr>
        <w:t xml:space="preserve">3.2.5 O fiscal do contrato informará a seus superiores, em tempo hábil para a adoção das medidas convenientes, a situação que demandar decisão ou providência que ultrapasse sua </w:t>
      </w:r>
      <w:r w:rsidRPr="00743B9D">
        <w:rPr>
          <w:rFonts w:ascii="Arial" w:hAnsi="Arial" w:cs="Arial"/>
          <w:bCs/>
          <w:iCs/>
        </w:rPr>
        <w:lastRenderedPageBreak/>
        <w:t>competência (Lei nº 14.133/2021, art. 117, §2º).</w:t>
      </w:r>
    </w:p>
    <w:p w14:paraId="05BC6C98" w14:textId="53EB04E4"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89EB20D" w14:textId="062A6D7A" w:rsidR="00743B9D" w:rsidRPr="00743B9D" w:rsidRDefault="00743B9D" w:rsidP="00743B9D">
      <w:pPr>
        <w:pStyle w:val="PargrafodaLista"/>
        <w:widowControl/>
        <w:numPr>
          <w:ilvl w:val="2"/>
          <w:numId w:val="12"/>
        </w:numPr>
        <w:pBdr>
          <w:top w:val="nil"/>
          <w:left w:val="nil"/>
          <w:bottom w:val="nil"/>
          <w:right w:val="nil"/>
          <w:between w:val="nil"/>
        </w:pBdr>
        <w:suppressAutoHyphens/>
        <w:autoSpaceDE/>
        <w:autoSpaceDN/>
        <w:spacing w:line="360" w:lineRule="auto"/>
        <w:ind w:left="0" w:firstLine="0"/>
        <w:jc w:val="both"/>
        <w:rPr>
          <w:rFonts w:ascii="Arial" w:hAnsi="Arial" w:cs="Arial"/>
          <w:bCs/>
          <w:iCs/>
        </w:rPr>
      </w:pPr>
      <w:bookmarkStart w:id="7" w:name="bookmark=id.tyjcwt" w:colFirst="0" w:colLast="0"/>
      <w:bookmarkEnd w:id="7"/>
      <w:r w:rsidRPr="00743B9D">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B21645A" w14:textId="50853BC0" w:rsidR="00743B9D" w:rsidRPr="00743B9D" w:rsidRDefault="00743B9D" w:rsidP="00743B9D">
      <w:pPr>
        <w:pStyle w:val="PargrafodaLista"/>
        <w:widowControl/>
        <w:numPr>
          <w:ilvl w:val="2"/>
          <w:numId w:val="12"/>
        </w:numPr>
        <w:pBdr>
          <w:top w:val="nil"/>
          <w:left w:val="nil"/>
          <w:bottom w:val="nil"/>
          <w:right w:val="nil"/>
          <w:between w:val="nil"/>
        </w:pBdr>
        <w:suppressAutoHyphens/>
        <w:autoSpaceDE/>
        <w:autoSpaceDN/>
        <w:spacing w:line="360" w:lineRule="auto"/>
        <w:ind w:left="0" w:firstLine="0"/>
        <w:jc w:val="both"/>
        <w:rPr>
          <w:rFonts w:ascii="Arial" w:hAnsi="Arial" w:cs="Arial"/>
          <w:bCs/>
          <w:iCs/>
        </w:rPr>
      </w:pPr>
      <w:bookmarkStart w:id="8" w:name="bookmark=id.3dy6vkm" w:colFirst="0" w:colLast="0"/>
      <w:bookmarkEnd w:id="8"/>
      <w:r w:rsidRPr="00743B9D">
        <w:rPr>
          <w:rFonts w:ascii="Arial" w:hAnsi="Arial" w:cs="Arial"/>
          <w:bCs/>
          <w:iCs/>
        </w:rPr>
        <w:t>Somente o contratado será responsável pelos encargos trabalhistas, previdenciários, fiscais e comerciais resultantes da execução do contrato (Lei nº 14.133/2021, art. 121, caput).</w:t>
      </w:r>
    </w:p>
    <w:p w14:paraId="7B13C368" w14:textId="4D1287BB" w:rsidR="00743B9D" w:rsidRPr="00743B9D" w:rsidRDefault="00743B9D" w:rsidP="00743B9D">
      <w:pPr>
        <w:pStyle w:val="PargrafodaLista"/>
        <w:widowControl/>
        <w:numPr>
          <w:ilvl w:val="2"/>
          <w:numId w:val="12"/>
        </w:numPr>
        <w:pBdr>
          <w:top w:val="nil"/>
          <w:left w:val="nil"/>
          <w:bottom w:val="nil"/>
          <w:right w:val="nil"/>
          <w:between w:val="nil"/>
        </w:pBdr>
        <w:tabs>
          <w:tab w:val="left" w:pos="360"/>
        </w:tabs>
        <w:suppressAutoHyphens/>
        <w:autoSpaceDE/>
        <w:autoSpaceDN/>
        <w:spacing w:line="360" w:lineRule="auto"/>
        <w:ind w:left="0" w:firstLine="0"/>
        <w:jc w:val="both"/>
        <w:rPr>
          <w:rFonts w:ascii="Arial" w:hAnsi="Arial" w:cs="Arial"/>
          <w:bCs/>
          <w:iCs/>
        </w:rPr>
      </w:pPr>
      <w:bookmarkStart w:id="9" w:name="bookmark=id.1t3h5sf" w:colFirst="0" w:colLast="0"/>
      <w:bookmarkEnd w:id="9"/>
      <w:r w:rsidRPr="00743B9D">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403C7095" w14:textId="4A592CE8" w:rsidR="00743B9D" w:rsidRPr="00743B9D" w:rsidRDefault="00743B9D" w:rsidP="00743B9D">
      <w:pPr>
        <w:pStyle w:val="PargrafodaLista"/>
        <w:widowControl/>
        <w:numPr>
          <w:ilvl w:val="2"/>
          <w:numId w:val="12"/>
        </w:numPr>
        <w:pBdr>
          <w:top w:val="nil"/>
          <w:left w:val="nil"/>
          <w:bottom w:val="nil"/>
          <w:right w:val="nil"/>
          <w:between w:val="nil"/>
        </w:pBdr>
        <w:suppressAutoHyphens/>
        <w:autoSpaceDE/>
        <w:autoSpaceDN/>
        <w:spacing w:line="360" w:lineRule="auto"/>
        <w:ind w:left="0" w:firstLine="0"/>
        <w:jc w:val="both"/>
        <w:rPr>
          <w:rFonts w:ascii="Arial" w:hAnsi="Arial" w:cs="Arial"/>
          <w:bCs/>
          <w:iCs/>
        </w:rPr>
      </w:pPr>
      <w:bookmarkStart w:id="10" w:name="bookmark=id.2s8eyo1" w:colFirst="0" w:colLast="0"/>
      <w:bookmarkStart w:id="11" w:name="bookmark=id.26in1rg" w:colFirst="0" w:colLast="0"/>
      <w:bookmarkStart w:id="12" w:name="bookmark=id.17dp8vu" w:colFirst="0" w:colLast="0"/>
      <w:bookmarkStart w:id="13" w:name="bookmark=id.3rdcrjn" w:colFirst="0" w:colLast="0"/>
      <w:bookmarkStart w:id="14" w:name="bookmark=id.4d34og8" w:colFirst="0" w:colLast="0"/>
      <w:bookmarkEnd w:id="10"/>
      <w:bookmarkEnd w:id="11"/>
      <w:bookmarkEnd w:id="12"/>
      <w:bookmarkEnd w:id="13"/>
      <w:bookmarkEnd w:id="14"/>
      <w:r w:rsidRPr="00743B9D">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69B7CB15" w14:textId="2B49223C" w:rsidR="00743B9D" w:rsidRPr="00743B9D" w:rsidRDefault="00743B9D" w:rsidP="00743B9D">
      <w:pPr>
        <w:pStyle w:val="PargrafodaLista"/>
        <w:widowControl/>
        <w:numPr>
          <w:ilvl w:val="2"/>
          <w:numId w:val="12"/>
        </w:numPr>
        <w:pBdr>
          <w:top w:val="nil"/>
          <w:left w:val="nil"/>
          <w:bottom w:val="nil"/>
          <w:right w:val="nil"/>
          <w:between w:val="nil"/>
        </w:pBdr>
        <w:suppressAutoHyphens/>
        <w:autoSpaceDE/>
        <w:autoSpaceDN/>
        <w:spacing w:line="360" w:lineRule="auto"/>
        <w:ind w:left="0" w:firstLine="0"/>
        <w:jc w:val="both"/>
        <w:rPr>
          <w:rFonts w:ascii="Arial" w:hAnsi="Arial" w:cs="Arial"/>
          <w:bCs/>
          <w:iCs/>
        </w:rPr>
      </w:pPr>
      <w:r w:rsidRPr="00743B9D">
        <w:rPr>
          <w:rFonts w:ascii="Arial" w:hAnsi="Arial" w:cs="Arial"/>
          <w:bCs/>
          <w:iCs/>
        </w:rPr>
        <w:t>O órgão ou entidade poderá convocar representante da empresa para adoção de providências que devam ser cumpridas de imediato.</w:t>
      </w:r>
    </w:p>
    <w:p w14:paraId="4AF6E55B" w14:textId="000599DA"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CC9B024" w14:textId="00F71AC3"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60775E58" w14:textId="5E456C14"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5E6B4D2E" w14:textId="563476EB"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 xml:space="preserve">3.2.15 O(s) fiscal(is) do contrato anotará em registro próprio todas as ocorrências relacionadas com a execução do contrato, indicando dia, mês e ano, determinando o que for necessário à </w:t>
      </w:r>
      <w:r w:rsidRPr="00743B9D">
        <w:rPr>
          <w:rFonts w:ascii="Arial" w:hAnsi="Arial" w:cs="Arial"/>
          <w:bCs/>
          <w:iCs/>
        </w:rPr>
        <w:lastRenderedPageBreak/>
        <w:t>regularização das faltas observadas e encaminhando os apontamentos à autoridade competente para as providências cabíveis;</w:t>
      </w:r>
    </w:p>
    <w:p w14:paraId="557CB72D" w14:textId="4A9EAB4A"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3.2.16 O(s) fiscal(is) designado pela Contratante deverá ter a experiência necessária para o acompanhamento e controle da execução dos serviços e do contrato;</w:t>
      </w:r>
    </w:p>
    <w:p w14:paraId="2C8C0E8B" w14:textId="3861C647"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3.2.17 A verificação da adequação da prestação do serviço deverá ser realizada com base nos critérios previstos neste Termo de Referência;</w:t>
      </w:r>
    </w:p>
    <w:p w14:paraId="1416B221" w14:textId="01B96B89" w:rsidR="00743B9D" w:rsidRPr="00743B9D" w:rsidRDefault="00743B9D" w:rsidP="00743B9D">
      <w:pPr>
        <w:pBdr>
          <w:top w:val="nil"/>
          <w:left w:val="nil"/>
          <w:bottom w:val="nil"/>
          <w:right w:val="nil"/>
          <w:between w:val="nil"/>
        </w:pBdr>
        <w:spacing w:line="360" w:lineRule="auto"/>
        <w:jc w:val="both"/>
        <w:rPr>
          <w:rFonts w:ascii="Arial" w:hAnsi="Arial" w:cs="Arial"/>
          <w:bCs/>
          <w:iCs/>
        </w:rPr>
      </w:pPr>
      <w:r w:rsidRPr="00743B9D">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7172C7F" w14:textId="77777777" w:rsidR="007B0D84" w:rsidRPr="009872FB"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743B9D">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2952DF11" w:rsidR="00C634F1" w:rsidRPr="0042575D" w:rsidRDefault="00C634F1" w:rsidP="0042575D">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42575D">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42575D">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42575D" w:rsidRDefault="00147B9F"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42575D">
        <w:rPr>
          <w:rFonts w:ascii="Arial" w:hAnsi="Arial" w:cs="Arial"/>
          <w:bCs/>
          <w:iCs/>
        </w:rPr>
        <w:t>O valor total da contratação é de R$.......... (.....)</w:t>
      </w:r>
    </w:p>
    <w:p w14:paraId="19E0CAC1" w14:textId="3066B963" w:rsidR="001D32DF" w:rsidRPr="0042575D" w:rsidRDefault="001D32DF"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42575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24B28C07" w:rsidR="00147B9F" w:rsidRPr="0042575D" w:rsidRDefault="00147B9F"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42575D">
        <w:rPr>
          <w:rFonts w:ascii="Arial" w:hAnsi="Arial" w:cs="Arial"/>
          <w:bCs/>
          <w:iCs/>
        </w:rPr>
        <w:t>O valor acima é meramente estimativo, de forma que os pagamentos devidos ao contratado dependerão dos quantitativos efetivamente fornecidos.</w:t>
      </w:r>
    </w:p>
    <w:p w14:paraId="70B2A42F" w14:textId="77777777" w:rsidR="0042575D" w:rsidRPr="00284EA1" w:rsidRDefault="0042575D" w:rsidP="0042575D">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4D12EF">
      <w:pPr>
        <w:pStyle w:val="PargrafodaLista"/>
        <w:numPr>
          <w:ilvl w:val="0"/>
          <w:numId w:val="13"/>
        </w:numPr>
        <w:tabs>
          <w:tab w:val="left" w:pos="284"/>
        </w:tabs>
        <w:spacing w:line="360"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5D8F16BE" w14:textId="77777777" w:rsidR="004D12EF" w:rsidRPr="004D12EF" w:rsidRDefault="004D12EF" w:rsidP="004D12EF">
      <w:pPr>
        <w:widowControl/>
        <w:numPr>
          <w:ilvl w:val="1"/>
          <w:numId w:val="13"/>
        </w:numPr>
        <w:shd w:val="clear" w:color="auto" w:fill="FFFFFF"/>
        <w:suppressAutoHyphens/>
        <w:autoSpaceDE/>
        <w:autoSpaceDN/>
        <w:spacing w:line="360" w:lineRule="auto"/>
        <w:ind w:left="0" w:firstLine="0"/>
        <w:jc w:val="both"/>
        <w:rPr>
          <w:rFonts w:ascii="Arial" w:hAnsi="Arial" w:cs="Arial"/>
          <w:bCs/>
          <w:iCs/>
        </w:rPr>
      </w:pPr>
      <w:r w:rsidRPr="004D12EF">
        <w:rPr>
          <w:rFonts w:ascii="Arial" w:hAnsi="Arial" w:cs="Arial"/>
          <w:bCs/>
          <w:iCs/>
        </w:rPr>
        <w:t xml:space="preserve">A Nota Fiscal deverá ser emitida em nome de: </w:t>
      </w:r>
      <w:r w:rsidRPr="004D12EF">
        <w:rPr>
          <w:rFonts w:ascii="Arial" w:hAnsi="Arial" w:cs="Arial"/>
          <w:b/>
          <w:iCs/>
        </w:rPr>
        <w:t>MUNICÍPIO DE NOVA FRIBURGO, CNPJ: 28.606.630/0001- 23, Endereço: Av. Alberto Braune, 225, Centro - Nova Friburgo – RJ, CEP: 28.613-001</w:t>
      </w:r>
      <w:r w:rsidRPr="004D12EF">
        <w:rPr>
          <w:rFonts w:ascii="Arial" w:hAnsi="Arial" w:cs="Arial"/>
          <w:bCs/>
          <w:iCs/>
        </w:rPr>
        <w:t>;</w:t>
      </w:r>
    </w:p>
    <w:p w14:paraId="1DD92120" w14:textId="5BE2FC51" w:rsidR="004D12EF" w:rsidRPr="004D12EF" w:rsidRDefault="004D12EF" w:rsidP="004D12EF">
      <w:pPr>
        <w:spacing w:line="360" w:lineRule="auto"/>
        <w:jc w:val="both"/>
        <w:rPr>
          <w:rFonts w:ascii="Arial" w:hAnsi="Arial" w:cs="Arial"/>
          <w:bCs/>
          <w:iCs/>
        </w:rPr>
      </w:pPr>
      <w:r w:rsidRPr="004D12EF">
        <w:rPr>
          <w:rFonts w:ascii="Arial" w:hAnsi="Arial" w:cs="Arial"/>
          <w:bCs/>
          <w:iCs/>
        </w:rPr>
        <w:t>6.2 Todos os serviços deverão ser prestados à: ESCOLA DE ENFERMAGEM NOSSA SENHORA DE FÁTIMA, Endereço: Rua General Osório, nº 324, Centro - Nova Friburgo/ RJ, CEP: 28.625-630;</w:t>
      </w:r>
    </w:p>
    <w:p w14:paraId="64DBA617" w14:textId="3B9F732A" w:rsidR="004D12EF" w:rsidRPr="004D12EF" w:rsidRDefault="004D12EF" w:rsidP="004D12EF">
      <w:pPr>
        <w:shd w:val="clear" w:color="auto" w:fill="FFFFFF"/>
        <w:spacing w:line="360" w:lineRule="auto"/>
        <w:jc w:val="both"/>
        <w:rPr>
          <w:rFonts w:ascii="Arial" w:hAnsi="Arial" w:cs="Arial"/>
          <w:bCs/>
          <w:iCs/>
          <w:u w:val="single"/>
        </w:rPr>
      </w:pPr>
      <w:r w:rsidRPr="004D12EF">
        <w:rPr>
          <w:rFonts w:ascii="Arial" w:hAnsi="Arial" w:cs="Arial"/>
          <w:bCs/>
          <w:iCs/>
          <w:u w:val="single"/>
        </w:rPr>
        <w:t>6.3 Da liquidação da despesa:</w:t>
      </w:r>
    </w:p>
    <w:p w14:paraId="11EEC373" w14:textId="10632472" w:rsidR="004D12EF" w:rsidRPr="004D12EF" w:rsidRDefault="004D12EF" w:rsidP="004D12EF">
      <w:pPr>
        <w:pBdr>
          <w:top w:val="nil"/>
          <w:left w:val="nil"/>
          <w:bottom w:val="nil"/>
          <w:right w:val="nil"/>
          <w:between w:val="nil"/>
        </w:pBdr>
        <w:spacing w:line="360" w:lineRule="auto"/>
        <w:jc w:val="both"/>
        <w:rPr>
          <w:rFonts w:ascii="Arial" w:hAnsi="Arial" w:cs="Arial"/>
          <w:bCs/>
          <w:iCs/>
        </w:rPr>
      </w:pPr>
      <w:r w:rsidRPr="004D12EF">
        <w:rPr>
          <w:rFonts w:ascii="Arial" w:hAnsi="Arial" w:cs="Arial"/>
          <w:bCs/>
          <w:iCs/>
        </w:rPr>
        <w:t xml:space="preserve">6.3.1 A liquidação será realizada pela Secretaria Municipal de Finanças, Planejamento, Desenvolvimento Econômico e Gestão, a partir do cumprimento das obrigações elencadas </w:t>
      </w:r>
      <w:r w:rsidRPr="004D12EF">
        <w:rPr>
          <w:rFonts w:ascii="Arial" w:hAnsi="Arial" w:cs="Arial"/>
          <w:bCs/>
          <w:iCs/>
        </w:rPr>
        <w:lastRenderedPageBreak/>
        <w:t xml:space="preserve">neste Termo de Referência, em obediência ao Decreto nº 2493, de 07 de novembro de 2023 e ao Decreto nº 3116 de 18 de setembro de 2024  </w:t>
      </w:r>
      <w:hyperlink r:id="rId10" w:history="1">
        <w:r w:rsidRPr="004D12EF">
          <w:rPr>
            <w:rFonts w:ascii="Arial" w:hAnsi="Arial" w:cs="Arial"/>
            <w:bCs/>
            <w:iCs/>
          </w:rPr>
          <w:t>https://pmnf.rj.gov.br/paginas-centralizadas/9_64_Legislacoes.html</w:t>
        </w:r>
      </w:hyperlink>
      <w:r w:rsidRPr="004D12EF">
        <w:rPr>
          <w:rFonts w:ascii="Arial" w:hAnsi="Arial" w:cs="Arial"/>
          <w:bCs/>
          <w:iCs/>
        </w:rPr>
        <w:t>;</w:t>
      </w:r>
    </w:p>
    <w:p w14:paraId="3C65EE3A" w14:textId="7B03CD23" w:rsidR="004D12EF" w:rsidRPr="004D12EF" w:rsidRDefault="004D12EF" w:rsidP="004D12EF">
      <w:pPr>
        <w:spacing w:line="360" w:lineRule="auto"/>
        <w:jc w:val="both"/>
        <w:rPr>
          <w:rFonts w:ascii="Arial" w:hAnsi="Arial" w:cs="Arial"/>
          <w:bCs/>
          <w:iCs/>
        </w:rPr>
      </w:pPr>
      <w:r w:rsidRPr="004D12EF">
        <w:rPr>
          <w:rFonts w:ascii="Arial" w:hAnsi="Arial" w:cs="Arial"/>
          <w:bCs/>
          <w:iCs/>
        </w:rPr>
        <w:t>6.3.2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6395D84E" w14:textId="50538DAA" w:rsidR="004D12EF" w:rsidRPr="004D12EF" w:rsidRDefault="004D12EF" w:rsidP="004D12EF">
      <w:pPr>
        <w:spacing w:line="360" w:lineRule="auto"/>
        <w:jc w:val="both"/>
        <w:rPr>
          <w:rFonts w:ascii="Arial" w:hAnsi="Arial" w:cs="Arial"/>
          <w:bCs/>
          <w:iCs/>
          <w:u w:val="single"/>
        </w:rPr>
      </w:pPr>
      <w:r w:rsidRPr="004D12EF">
        <w:rPr>
          <w:rFonts w:ascii="Arial" w:hAnsi="Arial" w:cs="Arial"/>
          <w:bCs/>
          <w:iCs/>
          <w:u w:val="single"/>
        </w:rPr>
        <w:t>6.4 Do pagamento da despesa:</w:t>
      </w:r>
    </w:p>
    <w:p w14:paraId="1460FE71" w14:textId="451A2BE2" w:rsidR="004D12EF" w:rsidRPr="004D12EF" w:rsidRDefault="004D12EF" w:rsidP="004D12EF">
      <w:pPr>
        <w:pBdr>
          <w:top w:val="nil"/>
          <w:left w:val="nil"/>
          <w:bottom w:val="nil"/>
          <w:right w:val="nil"/>
          <w:between w:val="nil"/>
        </w:pBdr>
        <w:spacing w:line="360" w:lineRule="auto"/>
        <w:jc w:val="both"/>
        <w:rPr>
          <w:rFonts w:ascii="Arial" w:hAnsi="Arial" w:cs="Arial"/>
          <w:bCs/>
          <w:iCs/>
        </w:rPr>
      </w:pPr>
      <w:r w:rsidRPr="004D12EF">
        <w:rPr>
          <w:rFonts w:ascii="Arial" w:hAnsi="Arial" w:cs="Arial"/>
          <w:bCs/>
          <w:iCs/>
        </w:rPr>
        <w:t>6.4.1 O pagamento será efetuado conforme estabelecido no  Decreto Municipal nº 2493, de 07 de novembro de 2023, desde que as certidões listadas abaixo estejam dentro da validade:</w:t>
      </w:r>
    </w:p>
    <w:p w14:paraId="649B1B46" w14:textId="77777777" w:rsidR="004D12EF" w:rsidRPr="004D12EF" w:rsidRDefault="004D12EF" w:rsidP="004D12EF">
      <w:pPr>
        <w:spacing w:line="360" w:lineRule="auto"/>
        <w:jc w:val="both"/>
        <w:rPr>
          <w:rFonts w:ascii="Arial" w:hAnsi="Arial" w:cs="Arial"/>
          <w:bCs/>
          <w:iCs/>
        </w:rPr>
      </w:pPr>
      <w:r w:rsidRPr="004D12EF">
        <w:rPr>
          <w:rFonts w:ascii="Arial" w:hAnsi="Arial" w:cs="Arial"/>
          <w:bCs/>
          <w:iCs/>
        </w:rPr>
        <w:t xml:space="preserve">- Negativa de Débitos Trabalhistas; </w:t>
      </w:r>
    </w:p>
    <w:p w14:paraId="2210D94B" w14:textId="77777777" w:rsidR="004D12EF" w:rsidRPr="004D12EF" w:rsidRDefault="004D12EF" w:rsidP="004D12EF">
      <w:pPr>
        <w:spacing w:line="360" w:lineRule="auto"/>
        <w:jc w:val="both"/>
        <w:rPr>
          <w:rFonts w:ascii="Arial" w:hAnsi="Arial" w:cs="Arial"/>
          <w:bCs/>
          <w:iCs/>
        </w:rPr>
      </w:pPr>
      <w:r w:rsidRPr="004D12EF">
        <w:rPr>
          <w:rFonts w:ascii="Arial" w:hAnsi="Arial" w:cs="Arial"/>
          <w:bCs/>
          <w:iCs/>
        </w:rPr>
        <w:t xml:space="preserve">- Fazenda Federal – abrange as contribuições sociais; </w:t>
      </w:r>
    </w:p>
    <w:p w14:paraId="120B6334" w14:textId="77777777" w:rsidR="004D12EF" w:rsidRPr="004D12EF" w:rsidRDefault="004D12EF" w:rsidP="004D12EF">
      <w:pPr>
        <w:spacing w:line="360" w:lineRule="auto"/>
        <w:jc w:val="both"/>
        <w:rPr>
          <w:rFonts w:ascii="Arial" w:hAnsi="Arial" w:cs="Arial"/>
          <w:bCs/>
          <w:iCs/>
        </w:rPr>
      </w:pPr>
      <w:r w:rsidRPr="004D12EF">
        <w:rPr>
          <w:rFonts w:ascii="Arial" w:hAnsi="Arial" w:cs="Arial"/>
          <w:bCs/>
          <w:iCs/>
        </w:rPr>
        <w:t xml:space="preserve">- FGTS; </w:t>
      </w:r>
    </w:p>
    <w:p w14:paraId="4A27D13D" w14:textId="77777777" w:rsidR="004D12EF" w:rsidRPr="004D12EF" w:rsidRDefault="004D12EF" w:rsidP="004D12EF">
      <w:pPr>
        <w:spacing w:line="360" w:lineRule="auto"/>
        <w:jc w:val="both"/>
        <w:rPr>
          <w:rFonts w:ascii="Arial" w:hAnsi="Arial" w:cs="Arial"/>
          <w:bCs/>
          <w:iCs/>
        </w:rPr>
      </w:pPr>
      <w:r w:rsidRPr="004D12EF">
        <w:rPr>
          <w:rFonts w:ascii="Arial" w:hAnsi="Arial" w:cs="Arial"/>
          <w:bCs/>
          <w:iCs/>
        </w:rPr>
        <w:t xml:space="preserve">- PGE – referente à Dívida Ativa Estadual; </w:t>
      </w:r>
    </w:p>
    <w:p w14:paraId="6CAA276D" w14:textId="77777777" w:rsidR="004D12EF" w:rsidRPr="004D12EF" w:rsidRDefault="004D12EF" w:rsidP="004D12EF">
      <w:pPr>
        <w:spacing w:line="360" w:lineRule="auto"/>
        <w:jc w:val="both"/>
        <w:rPr>
          <w:rFonts w:ascii="Arial" w:hAnsi="Arial" w:cs="Arial"/>
          <w:bCs/>
          <w:iCs/>
        </w:rPr>
      </w:pPr>
      <w:r w:rsidRPr="004D12EF">
        <w:rPr>
          <w:rFonts w:ascii="Arial" w:hAnsi="Arial" w:cs="Arial"/>
          <w:bCs/>
          <w:iCs/>
        </w:rPr>
        <w:t xml:space="preserve">- Municipal – referente ao ISS e Dívida Ativa; </w:t>
      </w:r>
    </w:p>
    <w:p w14:paraId="680DE05B" w14:textId="581D127F" w:rsidR="004D12EF" w:rsidRPr="004D12EF" w:rsidRDefault="004D12EF" w:rsidP="004D12EF">
      <w:pPr>
        <w:spacing w:line="360" w:lineRule="auto"/>
        <w:jc w:val="both"/>
        <w:rPr>
          <w:rFonts w:ascii="Arial" w:hAnsi="Arial" w:cs="Arial"/>
          <w:bCs/>
          <w:iCs/>
        </w:rPr>
      </w:pPr>
      <w:r w:rsidRPr="004D12EF">
        <w:rPr>
          <w:rFonts w:ascii="Arial" w:hAnsi="Arial" w:cs="Arial"/>
          <w:bCs/>
          <w:iCs/>
        </w:rPr>
        <w:t>- Estadual CND – referente ao ICMS.</w:t>
      </w:r>
    </w:p>
    <w:p w14:paraId="7929B3C9" w14:textId="0DB2D694" w:rsidR="004D12EF" w:rsidRPr="004D12EF" w:rsidRDefault="004D12EF" w:rsidP="004D12EF">
      <w:pPr>
        <w:pBdr>
          <w:top w:val="nil"/>
          <w:left w:val="nil"/>
          <w:bottom w:val="nil"/>
          <w:right w:val="nil"/>
          <w:between w:val="nil"/>
        </w:pBdr>
        <w:spacing w:line="360" w:lineRule="auto"/>
        <w:jc w:val="both"/>
        <w:rPr>
          <w:rFonts w:ascii="Arial" w:hAnsi="Arial" w:cs="Arial"/>
          <w:bCs/>
          <w:iCs/>
        </w:rPr>
      </w:pPr>
      <w:r w:rsidRPr="004D12EF">
        <w:rPr>
          <w:rFonts w:ascii="Arial" w:hAnsi="Arial" w:cs="Arial"/>
          <w:bCs/>
          <w:iCs/>
        </w:rPr>
        <w:t>6.4.2 A Nota Fiscal  deverá conter a identificação do Banco, número da Agência e da Conta Corrente, para que possibilite o CONTRATANTE efetuar o pagamento do valor devido;</w:t>
      </w:r>
    </w:p>
    <w:p w14:paraId="5621C2C4" w14:textId="74083A50" w:rsidR="004D12EF" w:rsidRPr="004D12EF" w:rsidRDefault="004D12EF" w:rsidP="004D12EF">
      <w:pPr>
        <w:pBdr>
          <w:top w:val="nil"/>
          <w:left w:val="nil"/>
          <w:bottom w:val="nil"/>
          <w:right w:val="nil"/>
          <w:between w:val="nil"/>
        </w:pBdr>
        <w:spacing w:line="360" w:lineRule="auto"/>
        <w:jc w:val="both"/>
        <w:rPr>
          <w:rFonts w:ascii="Arial" w:hAnsi="Arial" w:cs="Arial"/>
          <w:bCs/>
          <w:iCs/>
        </w:rPr>
      </w:pPr>
      <w:r w:rsidRPr="004D12EF">
        <w:rPr>
          <w:rFonts w:ascii="Arial" w:hAnsi="Arial" w:cs="Arial"/>
          <w:bCs/>
          <w:iCs/>
        </w:rPr>
        <w:t>6.4.3 Na ocorrência de rejeição da(s) Nota(s) Fiscal (s), motivada por erro ou incorreções, o prazo para pagamento estipulado acima passará a ser contado a partir da data de sua reapresentação.</w:t>
      </w:r>
    </w:p>
    <w:p w14:paraId="0AB0067D" w14:textId="531E85AE" w:rsidR="004D12EF" w:rsidRPr="004D12EF" w:rsidRDefault="004D12EF" w:rsidP="004D12EF">
      <w:pPr>
        <w:pBdr>
          <w:top w:val="nil"/>
          <w:left w:val="nil"/>
          <w:bottom w:val="nil"/>
          <w:right w:val="nil"/>
          <w:between w:val="nil"/>
        </w:pBdr>
        <w:spacing w:line="360" w:lineRule="auto"/>
        <w:jc w:val="both"/>
        <w:rPr>
          <w:rFonts w:ascii="Arial" w:hAnsi="Arial" w:cs="Arial"/>
          <w:bCs/>
          <w:iCs/>
        </w:rPr>
      </w:pPr>
      <w:r w:rsidRPr="004D12EF">
        <w:rPr>
          <w:rFonts w:ascii="Arial" w:hAnsi="Arial" w:cs="Arial"/>
          <w:bCs/>
          <w:iCs/>
        </w:rPr>
        <w:t>6.4.4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1FDE8BB" w14:textId="24DCBB4B" w:rsidR="004D12EF" w:rsidRPr="004D12EF" w:rsidRDefault="004D12EF" w:rsidP="004D12EF">
      <w:pPr>
        <w:spacing w:line="360" w:lineRule="auto"/>
        <w:jc w:val="both"/>
        <w:rPr>
          <w:rFonts w:ascii="Arial" w:hAnsi="Arial" w:cs="Arial"/>
          <w:bCs/>
          <w:iCs/>
        </w:rPr>
      </w:pPr>
      <w:r w:rsidRPr="004D12EF">
        <w:rPr>
          <w:rFonts w:ascii="Arial" w:hAnsi="Arial" w:cs="Arial"/>
          <w:bCs/>
          <w:iCs/>
        </w:rPr>
        <w:t>6.4.5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597BA5A" w14:textId="77777777" w:rsidR="0097688D" w:rsidRPr="0097688D" w:rsidRDefault="0097688D" w:rsidP="0042575D">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lastRenderedPageBreak/>
        <w:t>CLÁUSULA SÉTIMA - REAJUSTE (art. 92, V)</w:t>
      </w:r>
    </w:p>
    <w:p w14:paraId="6348F2F6" w14:textId="77777777" w:rsidR="0097688D" w:rsidRPr="004D12EF"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4D12EF">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4D12EF">
        <w:rPr>
          <w:rFonts w:ascii="Arial" w:hAnsi="Arial" w:cs="Arial"/>
          <w:bCs/>
          <w:iCs/>
        </w:rPr>
        <w:t xml:space="preserve">Após o interregno de um ano, e independentemente de pedido </w:t>
      </w:r>
      <w:r w:rsidRPr="0097688D">
        <w:rPr>
          <w:rFonts w:ascii="Arial" w:hAnsi="Arial" w:cs="Arial"/>
          <w:bCs/>
          <w:iCs/>
        </w:rPr>
        <w:t xml:space="preserve">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42575D">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1"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Aplicar ao Contratado as sanções previstas na lei e neste Contrato; </w:t>
      </w:r>
    </w:p>
    <w:p w14:paraId="5D9CABDA" w14:textId="670EF7D2"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D12EF"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praz</w:t>
      </w:r>
      <w:r w:rsidRPr="004D12EF">
        <w:rPr>
          <w:rFonts w:ascii="Arial" w:hAnsi="Arial" w:cs="Arial"/>
          <w:bCs/>
          <w:iCs/>
          <w:lang w:val="pt-BR"/>
        </w:rPr>
        <w:t xml:space="preserve">o de </w:t>
      </w:r>
      <w:r w:rsidRPr="004D12EF">
        <w:rPr>
          <w:rFonts w:ascii="Arial" w:hAnsi="Arial" w:cs="Arial"/>
          <w:bCs/>
          <w:iCs/>
        </w:rPr>
        <w:t>1 (um) mês</w:t>
      </w:r>
      <w:r w:rsidRPr="004D12EF">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D12EF"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4D12EF">
        <w:rPr>
          <w:rFonts w:ascii="Arial" w:hAnsi="Arial" w:cs="Arial"/>
          <w:bCs/>
          <w:iCs/>
          <w:lang w:val="pt-BR"/>
        </w:rPr>
        <w:t xml:space="preserve">Responder eventuais pedidos de reestabelecimento do equilíbrio econômico-financeiro feitos pelo contratado no prazo máximo de </w:t>
      </w:r>
      <w:r w:rsidRPr="004D12EF">
        <w:rPr>
          <w:rFonts w:ascii="Arial" w:hAnsi="Arial" w:cs="Arial"/>
          <w:bCs/>
          <w:iCs/>
        </w:rPr>
        <w:t>1 (um) mês</w:t>
      </w:r>
      <w:r w:rsidRPr="004D12EF">
        <w:rPr>
          <w:rFonts w:ascii="Arial" w:hAnsi="Arial" w:cs="Arial"/>
          <w:bCs/>
          <w:iCs/>
          <w:lang w:val="pt-BR"/>
        </w:rPr>
        <w:t>.</w:t>
      </w:r>
    </w:p>
    <w:p w14:paraId="15218468" w14:textId="77777777" w:rsidR="00EA6E3C" w:rsidRPr="00EA6E3C" w:rsidRDefault="00EA6E3C"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4D12EF">
        <w:rPr>
          <w:rFonts w:ascii="Arial" w:hAnsi="Arial" w:cs="Arial"/>
          <w:bCs/>
          <w:iCs/>
          <w:lang w:val="pt-BR"/>
        </w:rPr>
        <w:t xml:space="preserve">Comunicar o Contratado na hipótese de posterior alteração do projeto pelo Contratante, no caso </w:t>
      </w:r>
      <w:hyperlink r:id="rId12" w:anchor="art93§2" w:history="1">
        <w:r w:rsidRPr="004D12EF">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42575D">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3"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4"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5"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6"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8"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2E2AFE7C" w:rsidR="008743A2" w:rsidRPr="00DC6FCA" w:rsidRDefault="008743A2" w:rsidP="0042575D">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577BD4BC" w14:textId="746D2849" w:rsidR="00E81BCB" w:rsidRPr="009327CB" w:rsidRDefault="00E81BCB" w:rsidP="0042575D">
      <w:pPr>
        <w:pStyle w:val="PargrafodaLista"/>
        <w:numPr>
          <w:ilvl w:val="0"/>
          <w:numId w:val="13"/>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As partes deverão cumprir a </w:t>
      </w:r>
      <w:hyperlink r:id="rId20" w:history="1">
        <w:r w:rsidRPr="004D12EF">
          <w:rPr>
            <w:rFonts w:ascii="Arial" w:hAnsi="Arial" w:cs="Arial"/>
            <w:bCs/>
            <w:iCs/>
            <w:lang w:val="pt-BR"/>
          </w:rPr>
          <w:t>Lei nº 13.709, de 14 de agosto de 2018 (LGPD)</w:t>
        </w:r>
      </w:hyperlink>
      <w:r w:rsidRPr="004D12EF">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Os dados obtidos somente poderão ser utilizados para as finalidades que justificaram seu acesso e de acordo com a boa-fé e com os princípios do </w:t>
      </w:r>
      <w:hyperlink r:id="rId21" w:anchor="art6" w:history="1">
        <w:r w:rsidRPr="004D12EF">
          <w:rPr>
            <w:rFonts w:ascii="Arial" w:hAnsi="Arial" w:cs="Arial"/>
            <w:bCs/>
            <w:iCs/>
            <w:lang w:val="pt-BR"/>
          </w:rPr>
          <w:t>art. 6º da LGPD</w:t>
        </w:r>
      </w:hyperlink>
      <w:r w:rsidRPr="004D12EF">
        <w:rPr>
          <w:rFonts w:ascii="Arial" w:hAnsi="Arial" w:cs="Arial"/>
          <w:bCs/>
          <w:iCs/>
          <w:lang w:val="pt-BR"/>
        </w:rPr>
        <w:t xml:space="preserve">. </w:t>
      </w:r>
    </w:p>
    <w:p w14:paraId="1BDEF7CE"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É vedado o compartilhamento com terceiros dos dados obtidos fora das hipóteses permitidas em Lei.</w:t>
      </w:r>
    </w:p>
    <w:p w14:paraId="53D54A50"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A Administração deverá ser informada no prazo de 5 (cinco) dias úteis sobre todos os contratos de suboperação firmados ou que venham a ser celebrados pelo Contratado. </w:t>
      </w:r>
    </w:p>
    <w:p w14:paraId="3890CCE8"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Terminado o tratamento dos dados nos termos do </w:t>
      </w:r>
      <w:hyperlink r:id="rId22" w:anchor="art15" w:history="1">
        <w:r w:rsidRPr="004D12EF">
          <w:rPr>
            <w:rFonts w:ascii="Arial" w:hAnsi="Arial" w:cs="Arial"/>
            <w:bCs/>
            <w:iCs/>
            <w:lang w:val="pt-BR"/>
          </w:rPr>
          <w:t>art. 15 da LGPD</w:t>
        </w:r>
      </w:hyperlink>
      <w:r w:rsidRPr="004D12EF">
        <w:rPr>
          <w:rFonts w:ascii="Arial" w:hAnsi="Arial" w:cs="Arial"/>
          <w:bCs/>
          <w:iCs/>
          <w:lang w:val="pt-BR"/>
        </w:rPr>
        <w:t xml:space="preserve">, é dever do contratado eliminá-los, com exceção das hipóteses do </w:t>
      </w:r>
      <w:hyperlink r:id="rId23" w:anchor="art16" w:history="1">
        <w:r w:rsidRPr="004D12EF">
          <w:rPr>
            <w:rFonts w:ascii="Arial" w:hAnsi="Arial" w:cs="Arial"/>
            <w:bCs/>
            <w:iCs/>
            <w:lang w:val="pt-BR"/>
          </w:rPr>
          <w:t>art. 16 da LGPD</w:t>
        </w:r>
      </w:hyperlink>
      <w:r w:rsidRPr="004D12EF">
        <w:rPr>
          <w:rFonts w:ascii="Arial" w:hAnsi="Arial" w:cs="Arial"/>
          <w:bCs/>
          <w:iCs/>
          <w:lang w:val="pt-BR"/>
        </w:rPr>
        <w:t xml:space="preserve">, incluindo aquelas em </w:t>
      </w:r>
      <w:r w:rsidRPr="004D12EF">
        <w:rPr>
          <w:rFonts w:ascii="Arial" w:hAnsi="Arial" w:cs="Arial"/>
          <w:bCs/>
          <w:iCs/>
          <w:lang w:val="pt-BR"/>
        </w:rPr>
        <w:lastRenderedPageBreak/>
        <w:t xml:space="preserve">que houver necessidade de guarda de documentação para fins de comprovação do cumprimento de obrigações legais ou contratuais e somente enquanto não prescritas essas obrigações. </w:t>
      </w:r>
    </w:p>
    <w:p w14:paraId="2611C510"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O Contratado deverá exigir de suboperadores e subcontratados o cumprimento dos deveres da presente cláusula, permanecendo integralmente responsável por garantir sua observância.</w:t>
      </w:r>
    </w:p>
    <w:p w14:paraId="2C71F641"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4" w:history="1">
        <w:r w:rsidRPr="004D12EF">
          <w:rPr>
            <w:rFonts w:ascii="Arial" w:hAnsi="Arial" w:cs="Arial"/>
            <w:bCs/>
            <w:iCs/>
            <w:lang w:val="pt-BR"/>
          </w:rPr>
          <w:t>LGPD, art. 37</w:t>
        </w:r>
      </w:hyperlink>
      <w:r w:rsidRPr="004D12EF">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4D12EF" w:rsidRDefault="00E81BCB" w:rsidP="0042575D">
      <w:pPr>
        <w:pStyle w:val="PargrafodaLista"/>
        <w:widowControl/>
        <w:numPr>
          <w:ilvl w:val="2"/>
          <w:numId w:val="13"/>
        </w:numPr>
        <w:tabs>
          <w:tab w:val="left" w:pos="993"/>
        </w:tabs>
        <w:autoSpaceDE/>
        <w:autoSpaceDN/>
        <w:spacing w:before="120" w:after="120" w:line="276" w:lineRule="auto"/>
        <w:ind w:left="993" w:hanging="851"/>
        <w:jc w:val="both"/>
        <w:rPr>
          <w:rFonts w:ascii="Arial" w:hAnsi="Arial" w:cs="Arial"/>
          <w:bCs/>
          <w:iCs/>
          <w:lang w:val="pt-BR"/>
        </w:rPr>
      </w:pPr>
      <w:r w:rsidRPr="004D12EF">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4D12EF" w:rsidRDefault="00E81BCB"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4D12EF">
        <w:rPr>
          <w:rFonts w:ascii="Arial" w:hAnsi="Arial" w:cs="Arial"/>
          <w:bCs/>
          <w:iCs/>
          <w:lang w:val="pt-BR"/>
        </w:rPr>
        <w:t xml:space="preserve">Os contratos e convênios de que trata o </w:t>
      </w:r>
      <w:hyperlink r:id="rId25" w:anchor="art26§1" w:history="1">
        <w:r w:rsidRPr="004D12EF">
          <w:rPr>
            <w:rFonts w:ascii="Arial" w:hAnsi="Arial" w:cs="Arial"/>
            <w:bCs/>
            <w:iCs/>
            <w:lang w:val="pt-BR"/>
          </w:rPr>
          <w:t>§ 1º do art. 26 da LGPD</w:t>
        </w:r>
      </w:hyperlink>
      <w:r w:rsidRPr="004D12EF">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42575D">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42575D">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6"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7"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lastRenderedPageBreak/>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8"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42575D">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9" w:anchor="art156§2" w:history="1">
        <w:r w:rsidRPr="00E04B75">
          <w:rPr>
            <w:rStyle w:val="Hyperlink"/>
            <w:rFonts w:ascii="Arial" w:eastAsia="Arial" w:hAnsi="Arial" w:cs="Arial"/>
          </w:rPr>
          <w:t xml:space="preserve">art. 156, §2º, da </w:t>
        </w:r>
        <w:bookmarkStart w:id="15" w:name="_Hlk114504069"/>
        <w:r w:rsidRPr="00E04B75">
          <w:rPr>
            <w:rStyle w:val="Hyperlink"/>
            <w:rFonts w:ascii="Arial" w:eastAsia="Arial" w:hAnsi="Arial" w:cs="Arial"/>
          </w:rPr>
          <w:t>Lei nº 14.133, de 2021</w:t>
        </w:r>
        <w:bookmarkEnd w:id="15"/>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30"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1"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lastRenderedPageBreak/>
        <w:t>A aplicação das sanções previstas neste Contrato não exclui, em hipótese alguma, a obrigação de reparação integral do dano causado ao Contratante</w:t>
      </w:r>
      <w:r w:rsidRPr="00E04B75">
        <w:t xml:space="preserve"> (</w:t>
      </w:r>
      <w:hyperlink r:id="rId32" w:anchor="art156§9" w:history="1">
        <w:r w:rsidRPr="00E04B75">
          <w:rPr>
            <w:rStyle w:val="Hyperlink"/>
          </w:rPr>
          <w:t>art. 156, §9º, da Lei nº 14.133, de 2021</w:t>
        </w:r>
      </w:hyperlink>
      <w:r w:rsidRPr="00E04B75">
        <w:t>)</w:t>
      </w:r>
    </w:p>
    <w:p w14:paraId="4638A08C" w14:textId="77777777" w:rsidR="00370B10" w:rsidRPr="00E04B75" w:rsidRDefault="00370B10" w:rsidP="0042575D">
      <w:pPr>
        <w:pStyle w:val="PargrafodaLista"/>
        <w:widowControl/>
        <w:numPr>
          <w:ilvl w:val="2"/>
          <w:numId w:val="13"/>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3" w:anchor="art156§7" w:history="1">
        <w:r w:rsidRPr="00E04B75">
          <w:rPr>
            <w:rStyle w:val="Hyperlink"/>
          </w:rPr>
          <w:t>art. 156, §7º, da Lei nº 14.133, de 2021</w:t>
        </w:r>
      </w:hyperlink>
      <w:r w:rsidRPr="00E04B75">
        <w:t>).</w:t>
      </w:r>
    </w:p>
    <w:p w14:paraId="05740197" w14:textId="77777777" w:rsidR="00370B10" w:rsidRPr="00E04B75" w:rsidRDefault="00370B10" w:rsidP="0042575D">
      <w:pPr>
        <w:pStyle w:val="PargrafodaLista"/>
        <w:widowControl/>
        <w:numPr>
          <w:ilvl w:val="2"/>
          <w:numId w:val="13"/>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4" w:anchor="art157" w:history="1">
        <w:r w:rsidRPr="00E04B75">
          <w:rPr>
            <w:rStyle w:val="Hyperlink"/>
          </w:rPr>
          <w:t>art. 157, da Lei nº 14.133, de 2021</w:t>
        </w:r>
      </w:hyperlink>
      <w:r w:rsidRPr="00E04B75">
        <w:t>)</w:t>
      </w:r>
    </w:p>
    <w:p w14:paraId="4E6DB274" w14:textId="77777777" w:rsidR="00370B10" w:rsidRPr="00E04B75" w:rsidRDefault="00370B10" w:rsidP="0042575D">
      <w:pPr>
        <w:pStyle w:val="PargrafodaLista"/>
        <w:widowControl/>
        <w:numPr>
          <w:ilvl w:val="2"/>
          <w:numId w:val="13"/>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5" w:anchor="art156§8" w:history="1">
        <w:r w:rsidRPr="00E04B75">
          <w:rPr>
            <w:rStyle w:val="Hyperlink"/>
          </w:rPr>
          <w:t>art. 156, §8º, da Lei nº 14.133, de 2021</w:t>
        </w:r>
      </w:hyperlink>
      <w:r w:rsidRPr="00E04B75">
        <w:t>).</w:t>
      </w:r>
    </w:p>
    <w:p w14:paraId="6163F99C" w14:textId="5D12D559" w:rsidR="00370B10" w:rsidRPr="00DE2273" w:rsidRDefault="00370B10" w:rsidP="0042575D">
      <w:pPr>
        <w:pStyle w:val="PargrafodaLista"/>
        <w:widowControl/>
        <w:numPr>
          <w:ilvl w:val="2"/>
          <w:numId w:val="13"/>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6"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7"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8"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9"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40" w:history="1">
        <w:r w:rsidRPr="00E04B75">
          <w:rPr>
            <w:rStyle w:val="Hyperlink"/>
          </w:rPr>
          <w:t>art. 159</w:t>
        </w:r>
      </w:hyperlink>
      <w:r w:rsidRPr="00E04B75">
        <w:t>).</w:t>
      </w:r>
    </w:p>
    <w:p w14:paraId="070FC42A"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rPr>
          <w:i/>
          <w:iCs/>
        </w:rPr>
      </w:pPr>
      <w:r w:rsidRPr="00DE2273">
        <w:rPr>
          <w:rFonts w:ascii="Arial" w:eastAsia="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DE2273">
        <w:rPr>
          <w:rFonts w:ascii="Arial" w:eastAsia="Arial" w:hAnsi="Arial" w:cs="Arial"/>
        </w:rPr>
        <w:lastRenderedPageBreak/>
        <w:t>observados, em todos os casos, o contraditório, a ampla defesa e a obrigatoriedade de análise jurídica prévia</w:t>
      </w:r>
      <w:r w:rsidRPr="00E04B75">
        <w:t xml:space="preserve"> (</w:t>
      </w:r>
      <w:hyperlink r:id="rId41" w:anchor="art160" w:history="1">
        <w:r w:rsidRPr="00E04B75">
          <w:rPr>
            <w:rStyle w:val="Hyperlink"/>
          </w:rPr>
          <w:t>art. 160, da Lei nº 14.133, de 2021</w:t>
        </w:r>
      </w:hyperlink>
      <w:r w:rsidRPr="00E04B75">
        <w:t>).</w:t>
      </w:r>
    </w:p>
    <w:p w14:paraId="02E53A4E"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2" w:anchor="art161" w:history="1">
        <w:r w:rsidRPr="00E04B75">
          <w:rPr>
            <w:rStyle w:val="Hyperlink"/>
          </w:rPr>
          <w:t>Art. 161, da Lei nº 14.133, de 2021</w:t>
        </w:r>
      </w:hyperlink>
      <w:r w:rsidRPr="00E04B75">
        <w:t>).</w:t>
      </w:r>
    </w:p>
    <w:p w14:paraId="2EFA7AE8"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3" w:anchor="163" w:history="1">
        <w:r w:rsidRPr="00E04B75">
          <w:rPr>
            <w:rStyle w:val="Hyperlink"/>
          </w:rPr>
          <w:t>art. 163 da Lei nº 14.133/21</w:t>
        </w:r>
      </w:hyperlink>
      <w:r w:rsidRPr="00E04B75">
        <w:t>.</w:t>
      </w:r>
    </w:p>
    <w:p w14:paraId="5A49F571" w14:textId="77777777" w:rsidR="00370B10" w:rsidRPr="00E04B75" w:rsidRDefault="00370B10" w:rsidP="0042575D">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4" w:history="1">
        <w:r w:rsidRPr="00E04B75">
          <w:rPr>
            <w:rStyle w:val="Hyperlink"/>
          </w:rPr>
          <w:t>Normativa SEGES/ME nº 26, de 13 de abril de 2022</w:t>
        </w:r>
      </w:hyperlink>
      <w:r w:rsidRPr="00E04B75">
        <w:t xml:space="preserve">. </w:t>
      </w:r>
    </w:p>
    <w:p w14:paraId="5ACB71AD" w14:textId="05182C3C" w:rsidR="003444FD" w:rsidRDefault="00055A35" w:rsidP="0042575D">
      <w:pPr>
        <w:pStyle w:val="Nivel01"/>
        <w:numPr>
          <w:ilvl w:val="0"/>
          <w:numId w:val="13"/>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5"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42575D">
      <w:pPr>
        <w:pStyle w:val="PargrafodaLista"/>
        <w:widowControl/>
        <w:numPr>
          <w:ilvl w:val="1"/>
          <w:numId w:val="13"/>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6"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7"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Balanço dos eventos contratuais já cumpridos ou parcialmente cumpridos;</w:t>
      </w:r>
    </w:p>
    <w:p w14:paraId="6107865B"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42575D">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8"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42575D">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4247990" w:rsidR="002E43FD" w:rsidRPr="004D12EF" w:rsidRDefault="002E43FD" w:rsidP="0042575D">
      <w:pPr>
        <w:pStyle w:val="Nivel01"/>
        <w:numPr>
          <w:ilvl w:val="0"/>
          <w:numId w:val="13"/>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9" w:anchor="art92" w:history="1">
        <w:r w:rsidRPr="002E43FD">
          <w:rPr>
            <w:rStyle w:val="Hyperlink"/>
            <w:sz w:val="22"/>
            <w:szCs w:val="22"/>
          </w:rPr>
          <w:t>art. 92, VIII</w:t>
        </w:r>
      </w:hyperlink>
      <w:r w:rsidRPr="002E43FD">
        <w:rPr>
          <w:sz w:val="22"/>
          <w:szCs w:val="22"/>
        </w:rPr>
        <w:t>)</w:t>
      </w:r>
    </w:p>
    <w:p w14:paraId="55FE9E97" w14:textId="3D0369B7" w:rsidR="004D12EF" w:rsidRPr="004D12EF" w:rsidRDefault="004D12EF" w:rsidP="004D12EF">
      <w:pPr>
        <w:pStyle w:val="PargrafodaLista"/>
        <w:numPr>
          <w:ilvl w:val="1"/>
          <w:numId w:val="13"/>
        </w:numPr>
        <w:pBdr>
          <w:top w:val="nil"/>
          <w:left w:val="nil"/>
          <w:bottom w:val="nil"/>
          <w:right w:val="nil"/>
          <w:between w:val="nil"/>
        </w:pBdr>
        <w:spacing w:line="276" w:lineRule="auto"/>
        <w:ind w:left="0" w:firstLine="0"/>
        <w:jc w:val="both"/>
        <w:rPr>
          <w:rFonts w:ascii="Arial" w:eastAsia="Arial" w:hAnsi="Arial" w:cs="Arial"/>
        </w:rPr>
      </w:pPr>
      <w:r w:rsidRPr="004D12EF">
        <w:rPr>
          <w:rFonts w:ascii="Arial" w:eastAsia="Arial" w:hAnsi="Arial" w:cs="Arial"/>
        </w:rPr>
        <w:t>As despesas decorrentes da presente contratação correrão à conta de recursos específicos consignados no Orçamento do Município, na forma abaixo:</w:t>
      </w:r>
    </w:p>
    <w:p w14:paraId="2416D8C1" w14:textId="77777777" w:rsidR="004D12EF" w:rsidRPr="004D12EF" w:rsidRDefault="004D12EF" w:rsidP="004D12EF">
      <w:pPr>
        <w:pBdr>
          <w:top w:val="nil"/>
          <w:left w:val="nil"/>
          <w:bottom w:val="nil"/>
          <w:right w:val="nil"/>
          <w:between w:val="nil"/>
        </w:pBdr>
        <w:spacing w:line="276" w:lineRule="auto"/>
        <w:jc w:val="both"/>
        <w:rPr>
          <w:rFonts w:ascii="Arial" w:eastAsia="Arial" w:hAnsi="Arial" w:cs="Arial"/>
        </w:rPr>
      </w:pPr>
    </w:p>
    <w:tbl>
      <w:tblPr>
        <w:tblW w:w="8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97"/>
        <w:gridCol w:w="2496"/>
        <w:gridCol w:w="1656"/>
        <w:gridCol w:w="1305"/>
      </w:tblGrid>
      <w:tr w:rsidR="004D12EF" w:rsidRPr="004D12EF" w14:paraId="0430FDB7" w14:textId="77777777" w:rsidTr="00ED4999">
        <w:trPr>
          <w:cantSplit/>
          <w:tblHeader/>
          <w:jc w:val="center"/>
        </w:trPr>
        <w:tc>
          <w:tcPr>
            <w:tcW w:w="3497" w:type="dxa"/>
            <w:shd w:val="clear" w:color="auto" w:fill="auto"/>
            <w:tcMar>
              <w:left w:w="108" w:type="dxa"/>
            </w:tcMar>
            <w:vAlign w:val="center"/>
          </w:tcPr>
          <w:p w14:paraId="1B862C0C" w14:textId="77777777" w:rsidR="004D12EF" w:rsidRPr="004D12EF" w:rsidRDefault="004D12EF" w:rsidP="004D12EF">
            <w:pPr>
              <w:spacing w:line="276" w:lineRule="auto"/>
              <w:jc w:val="center"/>
              <w:rPr>
                <w:rFonts w:ascii="Arial" w:eastAsia="Arial" w:hAnsi="Arial" w:cs="Arial"/>
              </w:rPr>
            </w:pPr>
            <w:r w:rsidRPr="004D12EF">
              <w:rPr>
                <w:rFonts w:ascii="Arial" w:eastAsia="Arial" w:hAnsi="Arial" w:cs="Arial"/>
              </w:rPr>
              <w:t>Órgão/Unidade Orçamentária</w:t>
            </w:r>
          </w:p>
        </w:tc>
        <w:tc>
          <w:tcPr>
            <w:tcW w:w="2496" w:type="dxa"/>
            <w:shd w:val="clear" w:color="auto" w:fill="auto"/>
            <w:tcMar>
              <w:left w:w="108" w:type="dxa"/>
            </w:tcMar>
            <w:vAlign w:val="center"/>
          </w:tcPr>
          <w:p w14:paraId="05548A3A" w14:textId="77777777" w:rsidR="004D12EF" w:rsidRPr="004D12EF" w:rsidRDefault="004D12EF" w:rsidP="004D12EF">
            <w:pPr>
              <w:spacing w:line="276" w:lineRule="auto"/>
              <w:jc w:val="center"/>
              <w:rPr>
                <w:rFonts w:ascii="Arial" w:eastAsia="Arial" w:hAnsi="Arial" w:cs="Arial"/>
              </w:rPr>
            </w:pPr>
            <w:r w:rsidRPr="004D12EF">
              <w:rPr>
                <w:rFonts w:ascii="Arial" w:eastAsia="Arial" w:hAnsi="Arial" w:cs="Arial"/>
              </w:rPr>
              <w:t>Programa de Trabalho</w:t>
            </w:r>
          </w:p>
        </w:tc>
        <w:tc>
          <w:tcPr>
            <w:tcW w:w="1656" w:type="dxa"/>
            <w:shd w:val="clear" w:color="auto" w:fill="auto"/>
            <w:tcMar>
              <w:left w:w="108" w:type="dxa"/>
            </w:tcMar>
            <w:vAlign w:val="center"/>
          </w:tcPr>
          <w:p w14:paraId="17477996" w14:textId="77777777" w:rsidR="004D12EF" w:rsidRPr="004D12EF" w:rsidRDefault="004D12EF" w:rsidP="004D12EF">
            <w:pPr>
              <w:spacing w:line="276" w:lineRule="auto"/>
              <w:jc w:val="center"/>
              <w:rPr>
                <w:rFonts w:ascii="Arial" w:eastAsia="Arial" w:hAnsi="Arial" w:cs="Arial"/>
              </w:rPr>
            </w:pPr>
            <w:r w:rsidRPr="004D12EF">
              <w:rPr>
                <w:rFonts w:ascii="Arial" w:eastAsia="Arial" w:hAnsi="Arial" w:cs="Arial"/>
              </w:rPr>
              <w:t>Fonte de Recursos</w:t>
            </w:r>
          </w:p>
        </w:tc>
        <w:tc>
          <w:tcPr>
            <w:tcW w:w="1305" w:type="dxa"/>
            <w:shd w:val="clear" w:color="auto" w:fill="auto"/>
            <w:tcMar>
              <w:left w:w="108" w:type="dxa"/>
            </w:tcMar>
            <w:vAlign w:val="center"/>
          </w:tcPr>
          <w:p w14:paraId="2C1030E8" w14:textId="77777777" w:rsidR="004D12EF" w:rsidRPr="004D12EF" w:rsidRDefault="004D12EF" w:rsidP="004D12EF">
            <w:pPr>
              <w:spacing w:line="276" w:lineRule="auto"/>
              <w:jc w:val="center"/>
              <w:rPr>
                <w:rFonts w:ascii="Arial" w:eastAsia="Arial" w:hAnsi="Arial" w:cs="Arial"/>
              </w:rPr>
            </w:pPr>
            <w:r w:rsidRPr="004D12EF">
              <w:rPr>
                <w:rFonts w:ascii="Arial" w:eastAsia="Arial" w:hAnsi="Arial" w:cs="Arial"/>
              </w:rPr>
              <w:t>Natureza da Despesa</w:t>
            </w:r>
          </w:p>
        </w:tc>
      </w:tr>
      <w:tr w:rsidR="004D12EF" w:rsidRPr="004D12EF" w14:paraId="2F713773" w14:textId="77777777" w:rsidTr="00ED4999">
        <w:trPr>
          <w:cantSplit/>
          <w:tblHeader/>
          <w:jc w:val="center"/>
        </w:trPr>
        <w:tc>
          <w:tcPr>
            <w:tcW w:w="3497" w:type="dxa"/>
            <w:shd w:val="clear" w:color="auto" w:fill="auto"/>
            <w:tcMar>
              <w:left w:w="108" w:type="dxa"/>
            </w:tcMar>
            <w:vAlign w:val="center"/>
          </w:tcPr>
          <w:p w14:paraId="66820941" w14:textId="77777777" w:rsidR="004D12EF" w:rsidRPr="004D12EF" w:rsidRDefault="004D12EF" w:rsidP="004D12EF">
            <w:pPr>
              <w:jc w:val="center"/>
              <w:rPr>
                <w:rFonts w:ascii="Arial" w:eastAsia="Arial" w:hAnsi="Arial" w:cs="Arial"/>
              </w:rPr>
            </w:pPr>
            <w:r w:rsidRPr="004D12EF">
              <w:rPr>
                <w:rFonts w:ascii="Arial" w:eastAsia="Arial" w:hAnsi="Arial" w:cs="Arial"/>
              </w:rPr>
              <w:t>22 - SECRETARIA MUNICIPAL DE EDUCAÇÃO</w:t>
            </w:r>
          </w:p>
          <w:p w14:paraId="25A9F029" w14:textId="77777777" w:rsidR="004D12EF" w:rsidRPr="004D12EF" w:rsidRDefault="004D12EF" w:rsidP="004D12EF">
            <w:pPr>
              <w:jc w:val="center"/>
              <w:rPr>
                <w:rFonts w:ascii="Arial" w:eastAsia="Arial" w:hAnsi="Arial" w:cs="Arial"/>
              </w:rPr>
            </w:pPr>
            <w:r w:rsidRPr="004D12EF">
              <w:rPr>
                <w:rFonts w:ascii="Arial" w:eastAsia="Arial" w:hAnsi="Arial" w:cs="Arial"/>
              </w:rPr>
              <w:t>005 - ESCOLA DE ENFERMAGEM</w:t>
            </w:r>
          </w:p>
        </w:tc>
        <w:tc>
          <w:tcPr>
            <w:tcW w:w="2496" w:type="dxa"/>
            <w:shd w:val="clear" w:color="auto" w:fill="auto"/>
            <w:tcMar>
              <w:left w:w="108" w:type="dxa"/>
            </w:tcMar>
            <w:vAlign w:val="center"/>
          </w:tcPr>
          <w:p w14:paraId="036F1DCE" w14:textId="77777777" w:rsidR="004D12EF" w:rsidRPr="004D12EF" w:rsidRDefault="004D12EF" w:rsidP="004D12EF">
            <w:pPr>
              <w:jc w:val="center"/>
              <w:rPr>
                <w:rFonts w:ascii="Arial" w:eastAsia="Arial" w:hAnsi="Arial" w:cs="Arial"/>
              </w:rPr>
            </w:pPr>
            <w:r w:rsidRPr="004D12EF">
              <w:rPr>
                <w:rFonts w:ascii="Arial" w:eastAsia="Arial" w:hAnsi="Arial" w:cs="Arial"/>
              </w:rPr>
              <w:t>22005.1236300012.263</w:t>
            </w:r>
          </w:p>
        </w:tc>
        <w:tc>
          <w:tcPr>
            <w:tcW w:w="1656" w:type="dxa"/>
            <w:shd w:val="clear" w:color="auto" w:fill="auto"/>
            <w:tcMar>
              <w:left w:w="108" w:type="dxa"/>
            </w:tcMar>
            <w:vAlign w:val="center"/>
          </w:tcPr>
          <w:p w14:paraId="58D71132" w14:textId="77777777" w:rsidR="004D12EF" w:rsidRPr="004D12EF" w:rsidRDefault="004D12EF" w:rsidP="004D12EF">
            <w:pPr>
              <w:jc w:val="center"/>
              <w:rPr>
                <w:rFonts w:ascii="Arial" w:eastAsia="Arial" w:hAnsi="Arial" w:cs="Arial"/>
              </w:rPr>
            </w:pPr>
            <w:r w:rsidRPr="004D12EF">
              <w:rPr>
                <w:rFonts w:ascii="Arial" w:eastAsia="Arial" w:hAnsi="Arial" w:cs="Arial"/>
              </w:rPr>
              <w:t>150000000000</w:t>
            </w:r>
          </w:p>
        </w:tc>
        <w:tc>
          <w:tcPr>
            <w:tcW w:w="1305" w:type="dxa"/>
            <w:shd w:val="clear" w:color="auto" w:fill="auto"/>
            <w:tcMar>
              <w:left w:w="108" w:type="dxa"/>
            </w:tcMar>
            <w:vAlign w:val="center"/>
          </w:tcPr>
          <w:p w14:paraId="4DBB8F31" w14:textId="77777777" w:rsidR="004D12EF" w:rsidRPr="004D12EF" w:rsidRDefault="004D12EF" w:rsidP="004D12EF">
            <w:pPr>
              <w:pBdr>
                <w:top w:val="nil"/>
                <w:left w:val="nil"/>
                <w:bottom w:val="nil"/>
                <w:right w:val="nil"/>
                <w:between w:val="nil"/>
              </w:pBdr>
              <w:spacing w:line="276" w:lineRule="auto"/>
              <w:jc w:val="center"/>
              <w:rPr>
                <w:rFonts w:ascii="Arial" w:eastAsia="Arial" w:hAnsi="Arial" w:cs="Arial"/>
              </w:rPr>
            </w:pPr>
            <w:r w:rsidRPr="004D12EF">
              <w:rPr>
                <w:rFonts w:ascii="Arial" w:eastAsia="Arial" w:hAnsi="Arial" w:cs="Arial"/>
              </w:rPr>
              <w:t>339039-74</w:t>
            </w:r>
          </w:p>
        </w:tc>
      </w:tr>
    </w:tbl>
    <w:p w14:paraId="2568F8CB" w14:textId="77777777" w:rsidR="004D12EF" w:rsidRPr="004D12EF" w:rsidRDefault="004D12EF" w:rsidP="004D12EF">
      <w:pPr>
        <w:spacing w:line="276" w:lineRule="auto"/>
        <w:jc w:val="both"/>
        <w:rPr>
          <w:rFonts w:ascii="Arial" w:eastAsia="Arial" w:hAnsi="Arial" w:cs="Arial"/>
        </w:rPr>
      </w:pPr>
    </w:p>
    <w:p w14:paraId="471D3832" w14:textId="629717AD" w:rsidR="004D12EF" w:rsidRPr="004D12EF" w:rsidRDefault="004D12EF" w:rsidP="004D12EF">
      <w:pPr>
        <w:pBdr>
          <w:top w:val="nil"/>
          <w:left w:val="nil"/>
          <w:bottom w:val="nil"/>
          <w:right w:val="nil"/>
          <w:between w:val="nil"/>
        </w:pBdr>
        <w:spacing w:line="276" w:lineRule="auto"/>
        <w:jc w:val="both"/>
        <w:rPr>
          <w:rFonts w:ascii="Arial" w:eastAsia="Arial" w:hAnsi="Arial" w:cs="Arial"/>
        </w:rPr>
      </w:pPr>
      <w:r w:rsidRPr="004D12EF">
        <w:rPr>
          <w:rFonts w:ascii="Arial" w:eastAsia="Arial" w:hAnsi="Arial" w:cs="Arial"/>
        </w:rPr>
        <w:t>14.2 A dotação relativa aos exercícios financeiros subsequentes será indicada após aprovação da Lei Orçamentária respectiva e liberação dos créditos correspondentes, mediante apostilamento.</w:t>
      </w:r>
    </w:p>
    <w:p w14:paraId="120C7BB4" w14:textId="270C6EE2" w:rsidR="00D90EA5" w:rsidRDefault="00D90EA5" w:rsidP="0042575D">
      <w:pPr>
        <w:pStyle w:val="Nivel01"/>
        <w:numPr>
          <w:ilvl w:val="0"/>
          <w:numId w:val="13"/>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42575D">
      <w:pPr>
        <w:pStyle w:val="PargrafodaLista"/>
        <w:numPr>
          <w:ilvl w:val="1"/>
          <w:numId w:val="13"/>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50" w:anchor="art124" w:history="1">
        <w:r>
          <w:rPr>
            <w:rStyle w:val="Hyperlink"/>
          </w:rPr>
          <w:t>arts. 124 e seguintes da Lei nº 14.133, de 2021</w:t>
        </w:r>
      </w:hyperlink>
      <w:r>
        <w:t>.</w:t>
      </w:r>
    </w:p>
    <w:p w14:paraId="074A5C54" w14:textId="77777777" w:rsidR="00D90EA5" w:rsidRPr="00DE2273" w:rsidRDefault="00D90EA5" w:rsidP="0042575D">
      <w:pPr>
        <w:pStyle w:val="PargrafodaLista"/>
        <w:numPr>
          <w:ilvl w:val="1"/>
          <w:numId w:val="13"/>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42575D">
      <w:pPr>
        <w:pStyle w:val="PargrafodaLista"/>
        <w:numPr>
          <w:ilvl w:val="1"/>
          <w:numId w:val="13"/>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42575D">
      <w:pPr>
        <w:pStyle w:val="PargrafodaLista"/>
        <w:numPr>
          <w:ilvl w:val="1"/>
          <w:numId w:val="13"/>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51" w:anchor="art136" w:history="1">
        <w:r w:rsidRPr="00D90EA5">
          <w:rPr>
            <w:rStyle w:val="Hyperlink"/>
          </w:rPr>
          <w:t xml:space="preserve">art. 136 da Lei nº </w:t>
        </w:r>
        <w:r w:rsidRPr="00D90EA5">
          <w:rPr>
            <w:rStyle w:val="Hyperlink"/>
          </w:rPr>
          <w:lastRenderedPageBreak/>
          <w:t>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42575D">
      <w:pPr>
        <w:pStyle w:val="Nivel010"/>
        <w:numPr>
          <w:ilvl w:val="0"/>
          <w:numId w:val="13"/>
        </w:numPr>
        <w:rPr>
          <w:color w:val="FFFFFF" w:themeColor="background1"/>
          <w:sz w:val="22"/>
          <w:szCs w:val="22"/>
        </w:rPr>
      </w:pPr>
      <w:r w:rsidRPr="00E04B75">
        <w:rPr>
          <w:sz w:val="22"/>
          <w:szCs w:val="22"/>
        </w:rPr>
        <w:t>CLÁUSULA DÉCIMA SEXTA – PUBLICAÇÃO</w:t>
      </w:r>
    </w:p>
    <w:p w14:paraId="6D2C9166" w14:textId="4271B3D6" w:rsidR="00885E3B" w:rsidRDefault="00885E3B" w:rsidP="0042575D">
      <w:pPr>
        <w:pStyle w:val="PargrafodaLista"/>
        <w:numPr>
          <w:ilvl w:val="1"/>
          <w:numId w:val="13"/>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2"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3" w:anchor="art8§2" w:history="1">
        <w:r w:rsidRPr="00C80C6C">
          <w:rPr>
            <w:rStyle w:val="Hyperlink"/>
          </w:rPr>
          <w:t>art. 8º, §2º, da Lei n. 12.527, de 2011</w:t>
        </w:r>
      </w:hyperlink>
      <w:r w:rsidRPr="00C80C6C">
        <w:t xml:space="preserve">, c/c </w:t>
      </w:r>
      <w:hyperlink r:id="rId54"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42575D">
      <w:pPr>
        <w:pStyle w:val="Nivel010"/>
        <w:numPr>
          <w:ilvl w:val="0"/>
          <w:numId w:val="13"/>
        </w:numPr>
        <w:rPr>
          <w:sz w:val="22"/>
          <w:szCs w:val="22"/>
        </w:rPr>
      </w:pPr>
      <w:r w:rsidRPr="00C80C6C">
        <w:rPr>
          <w:sz w:val="22"/>
          <w:szCs w:val="22"/>
        </w:rPr>
        <w:t xml:space="preserve">- </w:t>
      </w:r>
      <w:r w:rsidR="00885E3B" w:rsidRPr="00C80C6C">
        <w:rPr>
          <w:sz w:val="22"/>
          <w:szCs w:val="22"/>
        </w:rPr>
        <w:t>CLÁUSULA DÉCIMA SÉTIMA– FORO (</w:t>
      </w:r>
      <w:hyperlink r:id="rId55"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42575D">
      <w:pPr>
        <w:pStyle w:val="PargrafodaLista"/>
        <w:numPr>
          <w:ilvl w:val="1"/>
          <w:numId w:val="13"/>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0F600E11" w:rsidR="001D32DF" w:rsidRDefault="001D32DF" w:rsidP="0042575D">
      <w:pPr>
        <w:pStyle w:val="PargrafodaLista"/>
        <w:numPr>
          <w:ilvl w:val="1"/>
          <w:numId w:val="13"/>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igual teor, que, depois de lido e achado em ordem, vai assinado pelos contraentes.</w:t>
      </w:r>
    </w:p>
    <w:p w14:paraId="730867EE" w14:textId="77777777" w:rsidR="004D12EF" w:rsidRPr="009872FB" w:rsidRDefault="004D12EF" w:rsidP="004D12EF">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248819C9" w:rsidR="00320761" w:rsidRDefault="00320761" w:rsidP="001D32DF">
      <w:pPr>
        <w:spacing w:after="120"/>
        <w:jc w:val="center"/>
        <w:rPr>
          <w:rFonts w:ascii="Arial" w:hAnsi="Arial" w:cs="Arial"/>
          <w:bCs/>
        </w:rPr>
      </w:pPr>
    </w:p>
    <w:p w14:paraId="14520578" w14:textId="77777777" w:rsidR="004D12EF" w:rsidRPr="009872FB" w:rsidRDefault="004D12EF"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29A89114" w:rsidR="00320761" w:rsidRDefault="00320761" w:rsidP="001D32DF">
      <w:pPr>
        <w:spacing w:after="120"/>
        <w:jc w:val="center"/>
        <w:rPr>
          <w:rFonts w:ascii="Arial" w:hAnsi="Arial" w:cs="Arial"/>
        </w:rPr>
      </w:pPr>
    </w:p>
    <w:p w14:paraId="42D286DB" w14:textId="77777777" w:rsidR="004D12EF" w:rsidRPr="009872FB" w:rsidRDefault="004D12EF"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218C4A30" w:rsidR="001D32DF" w:rsidRDefault="001D32DF" w:rsidP="001D32DF">
      <w:pPr>
        <w:spacing w:after="120"/>
        <w:jc w:val="center"/>
        <w:rPr>
          <w:rFonts w:ascii="Arial" w:hAnsi="Arial" w:cs="Arial"/>
        </w:rPr>
      </w:pPr>
      <w:r w:rsidRPr="009872FB">
        <w:rPr>
          <w:rFonts w:ascii="Arial" w:hAnsi="Arial" w:cs="Arial"/>
        </w:rPr>
        <w:t>Responsável legal da CONTRATADA</w:t>
      </w:r>
    </w:p>
    <w:p w14:paraId="1E06E9FB" w14:textId="77777777" w:rsidR="004D12EF" w:rsidRPr="009872FB" w:rsidRDefault="004D12EF" w:rsidP="001D32DF">
      <w:pPr>
        <w:spacing w:after="120"/>
        <w:jc w:val="center"/>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6"/>
      <w:footerReference w:type="default" r:id="rId57"/>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942CB" w14:textId="77777777" w:rsidR="00114FCB" w:rsidRDefault="00114FCB">
      <w:r>
        <w:separator/>
      </w:r>
    </w:p>
  </w:endnote>
  <w:endnote w:type="continuationSeparator" w:id="0">
    <w:p w14:paraId="7093174F" w14:textId="77777777" w:rsidR="00114FCB" w:rsidRDefault="0011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1AF0" w14:textId="77777777" w:rsidR="00114FCB" w:rsidRDefault="00114FCB">
      <w:r>
        <w:separator/>
      </w:r>
    </w:p>
  </w:footnote>
  <w:footnote w:type="continuationSeparator" w:id="0">
    <w:p w14:paraId="1E737691" w14:textId="77777777" w:rsidR="00114FCB" w:rsidRDefault="00114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16" w:name="_Hlk163549712"/>
    <w:bookmarkStart w:id="17"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16"/>
    <w:bookmarkEnd w:id="17"/>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4D80311"/>
    <w:multiLevelType w:val="multilevel"/>
    <w:tmpl w:val="9DC0668E"/>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24B60AB3"/>
    <w:multiLevelType w:val="multilevel"/>
    <w:tmpl w:val="55120BB8"/>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6B4337BF"/>
    <w:multiLevelType w:val="multilevel"/>
    <w:tmpl w:val="9092DB0E"/>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E08431A"/>
    <w:multiLevelType w:val="multilevel"/>
    <w:tmpl w:val="FDE25AE2"/>
    <w:lvl w:ilvl="0">
      <w:start w:val="1"/>
      <w:numFmt w:val="decimal"/>
      <w:lvlText w:val="%1."/>
      <w:lvlJc w:val="left"/>
      <w:pPr>
        <w:ind w:left="240" w:firstLine="0"/>
      </w:pPr>
      <w:rPr>
        <w:rFonts w:ascii="Calibri" w:eastAsia="Calibri" w:hAnsi="Calibri" w:cs="Calibri"/>
        <w:sz w:val="24"/>
        <w:szCs w:val="24"/>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2"/>
  </w:num>
  <w:num w:numId="7">
    <w:abstractNumId w:val="4"/>
  </w:num>
  <w:num w:numId="8">
    <w:abstractNumId w:val="9"/>
  </w:num>
  <w:num w:numId="9">
    <w:abstractNumId w:val="7"/>
  </w:num>
  <w:num w:numId="10">
    <w:abstractNumId w:val="11"/>
  </w:num>
  <w:num w:numId="11">
    <w:abstractNumId w:val="3"/>
  </w:num>
  <w:num w:numId="12">
    <w:abstractNumId w:val="8"/>
  </w:num>
  <w:num w:numId="1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14FCB"/>
    <w:rsid w:val="001272CC"/>
    <w:rsid w:val="00130DCF"/>
    <w:rsid w:val="00134FCE"/>
    <w:rsid w:val="00135F0B"/>
    <w:rsid w:val="0014449B"/>
    <w:rsid w:val="00147B9F"/>
    <w:rsid w:val="0015173F"/>
    <w:rsid w:val="0015751B"/>
    <w:rsid w:val="00165D70"/>
    <w:rsid w:val="001767E4"/>
    <w:rsid w:val="00185DBF"/>
    <w:rsid w:val="00187C1B"/>
    <w:rsid w:val="00187FD2"/>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2575D"/>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12EF"/>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07E3"/>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3A0F"/>
    <w:rsid w:val="00735ADD"/>
    <w:rsid w:val="00741433"/>
    <w:rsid w:val="00743B9D"/>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B3521"/>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46D9B"/>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B7F76"/>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1-2014/2013/lei/l12846.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25art159"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1/lei/l12527.htm"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planalto.gov.br/ccivil_03/leis/l8078compilado.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gov.br/compras/pt-br/acesso-a-informacao/legislacao/instrucoes-normativas/instrucao-normativa-seges-me-no-26-de-13-de-abril-de-2022" TargetMode="External"/><Relationship Id="rId52"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6517</Words>
  <Characters>35193</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45</cp:revision>
  <cp:lastPrinted>2025-09-04T13:14:00Z</cp:lastPrinted>
  <dcterms:created xsi:type="dcterms:W3CDTF">2023-08-18T18:10:00Z</dcterms:created>
  <dcterms:modified xsi:type="dcterms:W3CDTF">2025-09-04T13:14:00Z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